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6E0F6" w14:textId="3EE9FCC2" w:rsidR="006950CD" w:rsidRPr="001926A5" w:rsidRDefault="0064149D">
      <w:pPr>
        <w:keepNext/>
        <w:pBdr>
          <w:top w:val="nil"/>
          <w:left w:val="nil"/>
          <w:bottom w:val="nil"/>
          <w:right w:val="nil"/>
          <w:between w:val="nil"/>
        </w:pBdr>
        <w:ind w:left="1" w:hanging="3"/>
        <w:jc w:val="center"/>
        <w:rPr>
          <w:sz w:val="28"/>
          <w:szCs w:val="28"/>
        </w:rPr>
      </w:pPr>
      <w:r w:rsidRPr="001926A5">
        <w:rPr>
          <w:b/>
          <w:sz w:val="28"/>
          <w:szCs w:val="28"/>
        </w:rPr>
        <w:t xml:space="preserve">Adesão a </w:t>
      </w:r>
      <w:r w:rsidR="00927F48">
        <w:rPr>
          <w:b/>
          <w:sz w:val="28"/>
          <w:szCs w:val="28"/>
        </w:rPr>
        <w:t>T</w:t>
      </w:r>
      <w:r w:rsidRPr="001926A5">
        <w:rPr>
          <w:b/>
          <w:sz w:val="28"/>
          <w:szCs w:val="28"/>
        </w:rPr>
        <w:t xml:space="preserve">ratamento, </w:t>
      </w:r>
      <w:r w:rsidR="00927F48">
        <w:rPr>
          <w:b/>
          <w:sz w:val="28"/>
          <w:szCs w:val="28"/>
        </w:rPr>
        <w:t>R</w:t>
      </w:r>
      <w:r w:rsidRPr="001926A5">
        <w:rPr>
          <w:b/>
          <w:sz w:val="28"/>
          <w:szCs w:val="28"/>
        </w:rPr>
        <w:t xml:space="preserve">isco </w:t>
      </w:r>
      <w:r w:rsidR="003E5937">
        <w:rPr>
          <w:b/>
          <w:sz w:val="28"/>
          <w:szCs w:val="28"/>
        </w:rPr>
        <w:t>P</w:t>
      </w:r>
      <w:r w:rsidRPr="001926A5">
        <w:rPr>
          <w:b/>
          <w:sz w:val="28"/>
          <w:szCs w:val="28"/>
        </w:rPr>
        <w:t xml:space="preserve">sicológico e </w:t>
      </w:r>
      <w:proofErr w:type="spellStart"/>
      <w:r w:rsidR="003E5937">
        <w:rPr>
          <w:b/>
          <w:i/>
          <w:sz w:val="28"/>
          <w:szCs w:val="28"/>
        </w:rPr>
        <w:t>D</w:t>
      </w:r>
      <w:r w:rsidRPr="001926A5">
        <w:rPr>
          <w:b/>
          <w:i/>
          <w:sz w:val="28"/>
          <w:szCs w:val="28"/>
        </w:rPr>
        <w:t>istress</w:t>
      </w:r>
      <w:proofErr w:type="spellEnd"/>
      <w:r w:rsidRPr="001926A5">
        <w:rPr>
          <w:b/>
          <w:sz w:val="28"/>
          <w:szCs w:val="28"/>
        </w:rPr>
        <w:t xml:space="preserve"> em </w:t>
      </w:r>
      <w:r w:rsidR="003E5937">
        <w:rPr>
          <w:b/>
          <w:sz w:val="28"/>
          <w:szCs w:val="28"/>
        </w:rPr>
        <w:t>P</w:t>
      </w:r>
      <w:r w:rsidRPr="001926A5">
        <w:rPr>
          <w:b/>
          <w:sz w:val="28"/>
          <w:szCs w:val="28"/>
        </w:rPr>
        <w:t xml:space="preserve">essoas </w:t>
      </w:r>
      <w:r w:rsidR="00A32E8F">
        <w:rPr>
          <w:b/>
          <w:sz w:val="28"/>
          <w:szCs w:val="28"/>
        </w:rPr>
        <w:t>V</w:t>
      </w:r>
      <w:r w:rsidRPr="001926A5">
        <w:rPr>
          <w:b/>
          <w:sz w:val="28"/>
          <w:szCs w:val="28"/>
        </w:rPr>
        <w:t xml:space="preserve">ivendo </w:t>
      </w:r>
    </w:p>
    <w:p w14:paraId="21813B06" w14:textId="31927971" w:rsidR="006950CD" w:rsidRPr="001926A5" w:rsidRDefault="00747A7F">
      <w:pPr>
        <w:keepNext/>
        <w:pBdr>
          <w:top w:val="nil"/>
          <w:left w:val="nil"/>
          <w:bottom w:val="nil"/>
          <w:right w:val="nil"/>
          <w:between w:val="nil"/>
        </w:pBdr>
        <w:ind w:left="1" w:hanging="3"/>
        <w:jc w:val="center"/>
        <w:rPr>
          <w:sz w:val="28"/>
          <w:szCs w:val="28"/>
          <w:lang w:val="en-US"/>
        </w:rPr>
      </w:pPr>
      <w:r w:rsidRPr="001926A5">
        <w:rPr>
          <w:b/>
          <w:sz w:val="28"/>
          <w:szCs w:val="28"/>
          <w:lang w:val="en-US"/>
        </w:rPr>
        <w:t>com HIV</w:t>
      </w:r>
      <w:r w:rsidR="00ED5AFB">
        <w:rPr>
          <w:rStyle w:val="Refdenotaderodap"/>
          <w:b/>
          <w:sz w:val="28"/>
          <w:szCs w:val="28"/>
          <w:lang w:val="en-US"/>
        </w:rPr>
        <w:footnoteReference w:id="1"/>
      </w:r>
    </w:p>
    <w:p w14:paraId="75C2202E" w14:textId="75CC29E4" w:rsidR="006950CD" w:rsidRPr="001926A5" w:rsidRDefault="00747A7F">
      <w:pPr>
        <w:keepNext/>
        <w:pBdr>
          <w:top w:val="nil"/>
          <w:left w:val="nil"/>
          <w:bottom w:val="nil"/>
          <w:right w:val="nil"/>
          <w:between w:val="nil"/>
        </w:pBdr>
        <w:ind w:left="1" w:hanging="3"/>
        <w:jc w:val="center"/>
        <w:rPr>
          <w:sz w:val="28"/>
          <w:szCs w:val="28"/>
          <w:lang w:val="en-US"/>
        </w:rPr>
      </w:pPr>
      <w:r w:rsidRPr="001926A5">
        <w:rPr>
          <w:b/>
          <w:sz w:val="28"/>
          <w:szCs w:val="28"/>
          <w:lang w:val="en-US"/>
        </w:rPr>
        <w:t xml:space="preserve">Adherence to </w:t>
      </w:r>
      <w:r w:rsidR="008448FC">
        <w:rPr>
          <w:b/>
          <w:sz w:val="28"/>
          <w:szCs w:val="28"/>
          <w:lang w:val="en-US"/>
        </w:rPr>
        <w:t>T</w:t>
      </w:r>
      <w:r w:rsidRPr="001926A5">
        <w:rPr>
          <w:b/>
          <w:sz w:val="28"/>
          <w:szCs w:val="28"/>
          <w:lang w:val="en-US"/>
        </w:rPr>
        <w:t xml:space="preserve">reatment, </w:t>
      </w:r>
      <w:r w:rsidR="008448FC">
        <w:rPr>
          <w:b/>
          <w:sz w:val="28"/>
          <w:szCs w:val="28"/>
          <w:lang w:val="en-US"/>
        </w:rPr>
        <w:t>P</w:t>
      </w:r>
      <w:r w:rsidRPr="001926A5">
        <w:rPr>
          <w:b/>
          <w:sz w:val="28"/>
          <w:szCs w:val="28"/>
          <w:lang w:val="en-US"/>
        </w:rPr>
        <w:t xml:space="preserve">sychological </w:t>
      </w:r>
      <w:r w:rsidR="008448FC">
        <w:rPr>
          <w:b/>
          <w:sz w:val="28"/>
          <w:szCs w:val="28"/>
          <w:lang w:val="en-US"/>
        </w:rPr>
        <w:t>R</w:t>
      </w:r>
      <w:r w:rsidRPr="001926A5">
        <w:rPr>
          <w:b/>
          <w:sz w:val="28"/>
          <w:szCs w:val="28"/>
          <w:lang w:val="en-US"/>
        </w:rPr>
        <w:t>isk</w:t>
      </w:r>
      <w:r w:rsidR="00726B93">
        <w:rPr>
          <w:b/>
          <w:sz w:val="28"/>
          <w:szCs w:val="28"/>
          <w:lang w:val="en-US"/>
        </w:rPr>
        <w:t>,</w:t>
      </w:r>
      <w:r w:rsidRPr="001926A5">
        <w:rPr>
          <w:b/>
          <w:sz w:val="28"/>
          <w:szCs w:val="28"/>
          <w:lang w:val="en-US"/>
        </w:rPr>
        <w:t xml:space="preserve"> and </w:t>
      </w:r>
      <w:r w:rsidR="008448FC">
        <w:rPr>
          <w:b/>
          <w:sz w:val="28"/>
          <w:szCs w:val="28"/>
          <w:lang w:val="en-US"/>
        </w:rPr>
        <w:t>D</w:t>
      </w:r>
      <w:r w:rsidRPr="001926A5">
        <w:rPr>
          <w:b/>
          <w:sz w:val="28"/>
          <w:szCs w:val="28"/>
          <w:lang w:val="en-US"/>
        </w:rPr>
        <w:t xml:space="preserve">istress in </w:t>
      </w:r>
      <w:r w:rsidR="008448FC">
        <w:rPr>
          <w:b/>
          <w:sz w:val="28"/>
          <w:szCs w:val="28"/>
          <w:lang w:val="en-US"/>
        </w:rPr>
        <w:t>P</w:t>
      </w:r>
      <w:r w:rsidRPr="001926A5">
        <w:rPr>
          <w:b/>
          <w:sz w:val="28"/>
          <w:szCs w:val="28"/>
          <w:lang w:val="en-US"/>
        </w:rPr>
        <w:t xml:space="preserve">eople </w:t>
      </w:r>
      <w:r w:rsidR="008448FC">
        <w:rPr>
          <w:b/>
          <w:sz w:val="28"/>
          <w:szCs w:val="28"/>
          <w:lang w:val="en-US"/>
        </w:rPr>
        <w:t>L</w:t>
      </w:r>
      <w:r w:rsidRPr="001926A5">
        <w:rPr>
          <w:b/>
          <w:sz w:val="28"/>
          <w:szCs w:val="28"/>
          <w:lang w:val="en-US"/>
        </w:rPr>
        <w:t>iving with HIV</w:t>
      </w:r>
    </w:p>
    <w:p w14:paraId="33597E19" w14:textId="1FA8E465" w:rsidR="006950CD" w:rsidRPr="001926A5" w:rsidRDefault="00747A7F">
      <w:pPr>
        <w:keepNext/>
        <w:pBdr>
          <w:top w:val="nil"/>
          <w:left w:val="nil"/>
          <w:bottom w:val="nil"/>
          <w:right w:val="nil"/>
          <w:between w:val="nil"/>
        </w:pBdr>
        <w:ind w:left="1" w:hanging="3"/>
        <w:jc w:val="center"/>
        <w:rPr>
          <w:sz w:val="28"/>
          <w:szCs w:val="28"/>
          <w:lang w:val="es-ES_tradnl"/>
        </w:rPr>
      </w:pPr>
      <w:r w:rsidRPr="001926A5">
        <w:rPr>
          <w:b/>
          <w:sz w:val="28"/>
          <w:szCs w:val="28"/>
          <w:lang w:val="es-ES_tradnl"/>
        </w:rPr>
        <w:t xml:space="preserve">Adherencia al </w:t>
      </w:r>
      <w:r w:rsidR="008448FC">
        <w:rPr>
          <w:b/>
          <w:sz w:val="28"/>
          <w:szCs w:val="28"/>
          <w:lang w:val="es-ES_tradnl"/>
        </w:rPr>
        <w:t>T</w:t>
      </w:r>
      <w:r w:rsidRPr="001926A5">
        <w:rPr>
          <w:b/>
          <w:sz w:val="28"/>
          <w:szCs w:val="28"/>
          <w:lang w:val="es-ES_tradnl"/>
        </w:rPr>
        <w:t xml:space="preserve">ratamiento, </w:t>
      </w:r>
      <w:r w:rsidR="008448FC">
        <w:rPr>
          <w:b/>
          <w:sz w:val="28"/>
          <w:szCs w:val="28"/>
          <w:lang w:val="es-ES_tradnl"/>
        </w:rPr>
        <w:t>R</w:t>
      </w:r>
      <w:r w:rsidRPr="001926A5">
        <w:rPr>
          <w:b/>
          <w:sz w:val="28"/>
          <w:szCs w:val="28"/>
          <w:lang w:val="es-ES_tradnl"/>
        </w:rPr>
        <w:t xml:space="preserve">iesgo </w:t>
      </w:r>
      <w:r w:rsidR="008448FC">
        <w:rPr>
          <w:b/>
          <w:sz w:val="28"/>
          <w:szCs w:val="28"/>
          <w:lang w:val="es-ES_tradnl"/>
        </w:rPr>
        <w:t>P</w:t>
      </w:r>
      <w:r w:rsidRPr="001926A5">
        <w:rPr>
          <w:b/>
          <w:sz w:val="28"/>
          <w:szCs w:val="28"/>
          <w:lang w:val="es-ES_tradnl"/>
        </w:rPr>
        <w:t xml:space="preserve">sicológico y </w:t>
      </w:r>
      <w:r w:rsidR="008448FC">
        <w:rPr>
          <w:b/>
          <w:sz w:val="28"/>
          <w:szCs w:val="28"/>
          <w:lang w:val="es-ES_tradnl"/>
        </w:rPr>
        <w:t>M</w:t>
      </w:r>
      <w:r w:rsidRPr="001926A5">
        <w:rPr>
          <w:b/>
          <w:sz w:val="28"/>
          <w:szCs w:val="28"/>
          <w:lang w:val="es-ES_tradnl"/>
        </w:rPr>
        <w:t xml:space="preserve">alestar en </w:t>
      </w:r>
      <w:r w:rsidR="008448FC">
        <w:rPr>
          <w:b/>
          <w:sz w:val="28"/>
          <w:szCs w:val="28"/>
          <w:lang w:val="es-ES_tradnl"/>
        </w:rPr>
        <w:t>P</w:t>
      </w:r>
      <w:r w:rsidRPr="001926A5">
        <w:rPr>
          <w:b/>
          <w:sz w:val="28"/>
          <w:szCs w:val="28"/>
          <w:lang w:val="es-ES_tradnl"/>
        </w:rPr>
        <w:t xml:space="preserve">ersonas que </w:t>
      </w:r>
      <w:r w:rsidR="008448FC">
        <w:rPr>
          <w:b/>
          <w:sz w:val="28"/>
          <w:szCs w:val="28"/>
          <w:lang w:val="es-ES_tradnl"/>
        </w:rPr>
        <w:t>V</w:t>
      </w:r>
      <w:r w:rsidRPr="001926A5">
        <w:rPr>
          <w:b/>
          <w:sz w:val="28"/>
          <w:szCs w:val="28"/>
          <w:lang w:val="es-ES_tradnl"/>
        </w:rPr>
        <w:t>iven con VIH</w:t>
      </w:r>
    </w:p>
    <w:p w14:paraId="47CD068D" w14:textId="43999F84" w:rsidR="006950CD" w:rsidRPr="001926A5" w:rsidRDefault="00F25210" w:rsidP="00F25210">
      <w:pPr>
        <w:keepNext/>
        <w:pBdr>
          <w:top w:val="nil"/>
          <w:left w:val="nil"/>
          <w:bottom w:val="nil"/>
          <w:right w:val="nil"/>
          <w:between w:val="nil"/>
        </w:pBdr>
        <w:ind w:left="0" w:hanging="2"/>
        <w:jc w:val="center"/>
      </w:pPr>
      <w:r w:rsidRPr="00F25210">
        <w:t>Aline Rosa da Costa</w:t>
      </w:r>
      <w:r>
        <w:rPr>
          <w:rStyle w:val="Refdenotaderodap"/>
        </w:rPr>
        <w:footnoteReference w:id="2"/>
      </w:r>
      <w:r>
        <w:t xml:space="preserve"> &amp; </w:t>
      </w:r>
      <w:r w:rsidRPr="00F25210">
        <w:t>Eliane Maria Fleury Seid</w:t>
      </w:r>
      <w:r w:rsidR="00D744CE">
        <w:t>l</w:t>
      </w:r>
      <w:r>
        <w:rPr>
          <w:rStyle w:val="Refdenotaderodap"/>
        </w:rPr>
        <w:footnoteReference w:id="3"/>
      </w:r>
    </w:p>
    <w:p w14:paraId="1F8121B9" w14:textId="77777777" w:rsidR="006950CD" w:rsidRPr="001926A5" w:rsidRDefault="006950CD">
      <w:pPr>
        <w:keepNext/>
        <w:pBdr>
          <w:top w:val="nil"/>
          <w:left w:val="nil"/>
          <w:bottom w:val="nil"/>
          <w:right w:val="nil"/>
          <w:between w:val="nil"/>
        </w:pBdr>
        <w:spacing w:line="360" w:lineRule="auto"/>
        <w:ind w:left="1" w:hanging="3"/>
        <w:rPr>
          <w:sz w:val="28"/>
          <w:szCs w:val="28"/>
        </w:rPr>
      </w:pPr>
    </w:p>
    <w:p w14:paraId="37F76929" w14:textId="77777777" w:rsidR="006950CD" w:rsidRPr="001926A5" w:rsidRDefault="006950CD">
      <w:pPr>
        <w:keepNext/>
        <w:pBdr>
          <w:top w:val="nil"/>
          <w:left w:val="nil"/>
          <w:bottom w:val="nil"/>
          <w:right w:val="nil"/>
          <w:between w:val="nil"/>
        </w:pBdr>
        <w:spacing w:line="360" w:lineRule="auto"/>
        <w:ind w:left="1" w:hanging="3"/>
        <w:rPr>
          <w:sz w:val="28"/>
          <w:szCs w:val="28"/>
        </w:rPr>
      </w:pPr>
    </w:p>
    <w:p w14:paraId="298A1127" w14:textId="77777777" w:rsidR="006950CD" w:rsidRPr="001926A5" w:rsidRDefault="00747A7F">
      <w:pPr>
        <w:ind w:left="0" w:hanging="2"/>
        <w:jc w:val="center"/>
      </w:pPr>
      <w:r w:rsidRPr="001926A5">
        <w:br w:type="page"/>
      </w:r>
    </w:p>
    <w:tbl>
      <w:tblPr>
        <w:tblStyle w:val="af5"/>
        <w:tblW w:w="9322" w:type="dxa"/>
        <w:tblInd w:w="-216" w:type="dxa"/>
        <w:tblLayout w:type="fixed"/>
        <w:tblLook w:val="0000" w:firstRow="0" w:lastRow="0" w:firstColumn="0" w:lastColumn="0" w:noHBand="0" w:noVBand="0"/>
      </w:tblPr>
      <w:tblGrid>
        <w:gridCol w:w="2518"/>
        <w:gridCol w:w="284"/>
        <w:gridCol w:w="6520"/>
      </w:tblGrid>
      <w:tr w:rsidR="001926A5" w:rsidRPr="001926A5" w14:paraId="1019EB7E" w14:textId="77777777">
        <w:trPr>
          <w:cantSplit/>
          <w:trHeight w:val="240"/>
        </w:trPr>
        <w:tc>
          <w:tcPr>
            <w:tcW w:w="2518" w:type="dxa"/>
            <w:vMerge w:val="restart"/>
            <w:tcMar>
              <w:top w:w="0" w:type="dxa"/>
              <w:left w:w="108" w:type="dxa"/>
              <w:bottom w:w="0" w:type="dxa"/>
              <w:right w:w="108" w:type="dxa"/>
            </w:tcMar>
          </w:tcPr>
          <w:p w14:paraId="30C0D50B"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70B9D299"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23D11BFD"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282B7BAC"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27344942"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1BEB1F4D"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261C9AE6"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326F3FCC"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70EF5191"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28192D6D"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68F06AEA"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6E53F5E5" w14:textId="77777777" w:rsidR="006950CD" w:rsidRPr="001926A5" w:rsidRDefault="006950CD" w:rsidP="009D1AE0">
            <w:pPr>
              <w:keepNext/>
              <w:pBdr>
                <w:top w:val="nil"/>
                <w:left w:val="nil"/>
                <w:bottom w:val="nil"/>
                <w:right w:val="nil"/>
                <w:between w:val="nil"/>
              </w:pBdr>
              <w:spacing w:line="240" w:lineRule="auto"/>
              <w:ind w:leftChars="0" w:left="0" w:firstLineChars="0" w:firstLine="0"/>
              <w:rPr>
                <w:rFonts w:ascii="Calibri" w:eastAsia="Calibri" w:hAnsi="Calibri" w:cs="Calibri"/>
                <w:sz w:val="20"/>
                <w:szCs w:val="20"/>
              </w:rPr>
            </w:pPr>
          </w:p>
          <w:p w14:paraId="260D4AC1"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66F98BA1" w14:textId="77777777" w:rsidR="006950CD" w:rsidRPr="009D1AE0" w:rsidRDefault="00747A7F">
            <w:pPr>
              <w:keepNext/>
              <w:pBdr>
                <w:top w:val="nil"/>
                <w:left w:val="nil"/>
                <w:bottom w:val="nil"/>
                <w:right w:val="nil"/>
                <w:between w:val="nil"/>
              </w:pBdr>
              <w:spacing w:line="240" w:lineRule="auto"/>
              <w:ind w:left="0" w:hanging="2"/>
              <w:rPr>
                <w:i/>
                <w:sz w:val="20"/>
                <w:szCs w:val="20"/>
              </w:rPr>
            </w:pPr>
            <w:r w:rsidRPr="009D1AE0">
              <w:rPr>
                <w:i/>
                <w:sz w:val="20"/>
                <w:szCs w:val="20"/>
              </w:rPr>
              <w:t>Informações do Artigo:</w:t>
            </w:r>
          </w:p>
          <w:p w14:paraId="4897C885" w14:textId="77777777" w:rsidR="00F25210" w:rsidRPr="009D1AE0" w:rsidRDefault="00F25210">
            <w:pPr>
              <w:keepNext/>
              <w:pBdr>
                <w:top w:val="nil"/>
                <w:left w:val="nil"/>
                <w:bottom w:val="nil"/>
                <w:right w:val="nil"/>
                <w:between w:val="nil"/>
              </w:pBdr>
              <w:spacing w:line="240" w:lineRule="auto"/>
              <w:ind w:left="0" w:hanging="2"/>
              <w:rPr>
                <w:i/>
                <w:sz w:val="20"/>
                <w:szCs w:val="20"/>
              </w:rPr>
            </w:pPr>
          </w:p>
          <w:p w14:paraId="294CA63E" w14:textId="3C64239E" w:rsidR="00F25210" w:rsidRPr="009D1AE0" w:rsidRDefault="00F25210">
            <w:pPr>
              <w:keepNext/>
              <w:pBdr>
                <w:top w:val="nil"/>
                <w:left w:val="nil"/>
                <w:bottom w:val="nil"/>
                <w:right w:val="nil"/>
                <w:between w:val="nil"/>
              </w:pBdr>
              <w:spacing w:line="240" w:lineRule="auto"/>
              <w:ind w:left="0" w:hanging="2"/>
              <w:rPr>
                <w:sz w:val="20"/>
                <w:szCs w:val="20"/>
              </w:rPr>
            </w:pPr>
            <w:r w:rsidRPr="009D1AE0">
              <w:rPr>
                <w:sz w:val="20"/>
                <w:szCs w:val="20"/>
              </w:rPr>
              <w:t xml:space="preserve">Aline Rosa da Costa </w:t>
            </w:r>
          </w:p>
          <w:p w14:paraId="1FD4755E" w14:textId="77777777" w:rsidR="00F25210" w:rsidRPr="009D1AE0" w:rsidRDefault="00F25210">
            <w:pPr>
              <w:keepNext/>
              <w:pBdr>
                <w:top w:val="nil"/>
                <w:left w:val="nil"/>
                <w:bottom w:val="nil"/>
                <w:right w:val="nil"/>
                <w:between w:val="nil"/>
              </w:pBdr>
              <w:spacing w:line="240" w:lineRule="auto"/>
              <w:ind w:left="0" w:hanging="2"/>
              <w:rPr>
                <w:sz w:val="20"/>
                <w:szCs w:val="20"/>
              </w:rPr>
            </w:pPr>
          </w:p>
          <w:p w14:paraId="7C2D6B13" w14:textId="7085BB4B" w:rsidR="00F25210" w:rsidRPr="009D1AE0" w:rsidRDefault="00532A68" w:rsidP="00F25210">
            <w:pPr>
              <w:keepNext/>
              <w:pBdr>
                <w:top w:val="nil"/>
                <w:left w:val="nil"/>
                <w:bottom w:val="nil"/>
                <w:right w:val="nil"/>
                <w:between w:val="nil"/>
              </w:pBdr>
              <w:spacing w:line="240" w:lineRule="auto"/>
              <w:ind w:leftChars="0" w:left="0" w:firstLineChars="0" w:firstLine="0"/>
              <w:rPr>
                <w:sz w:val="20"/>
                <w:szCs w:val="20"/>
              </w:rPr>
            </w:pPr>
            <w:hyperlink r:id="rId8" w:history="1">
              <w:r w:rsidR="00431A9B" w:rsidRPr="00502DD7">
                <w:rPr>
                  <w:rStyle w:val="Hyperlink"/>
                  <w:sz w:val="20"/>
                  <w:szCs w:val="20"/>
                </w:rPr>
                <w:t>rosadacostaaline@gmail.com</w:t>
              </w:r>
            </w:hyperlink>
          </w:p>
          <w:p w14:paraId="2C85D961" w14:textId="77777777" w:rsidR="00F25210" w:rsidRPr="009D1AE0" w:rsidRDefault="00F25210" w:rsidP="00F25210">
            <w:pPr>
              <w:keepNext/>
              <w:pBdr>
                <w:top w:val="nil"/>
                <w:left w:val="nil"/>
                <w:bottom w:val="nil"/>
                <w:right w:val="nil"/>
                <w:between w:val="nil"/>
              </w:pBdr>
              <w:spacing w:line="240" w:lineRule="auto"/>
              <w:ind w:leftChars="0" w:left="0" w:firstLineChars="0" w:firstLine="0"/>
              <w:rPr>
                <w:sz w:val="20"/>
                <w:szCs w:val="20"/>
              </w:rPr>
            </w:pPr>
          </w:p>
          <w:p w14:paraId="0E6E7E33" w14:textId="5381F8E7" w:rsidR="006950CD" w:rsidRPr="009D1AE0" w:rsidRDefault="00747A7F">
            <w:pPr>
              <w:keepNext/>
              <w:pBdr>
                <w:top w:val="nil"/>
                <w:left w:val="nil"/>
                <w:bottom w:val="nil"/>
                <w:right w:val="nil"/>
                <w:between w:val="nil"/>
              </w:pBdr>
              <w:spacing w:line="240" w:lineRule="auto"/>
              <w:ind w:left="0" w:hanging="2"/>
              <w:rPr>
                <w:sz w:val="20"/>
                <w:szCs w:val="20"/>
              </w:rPr>
            </w:pPr>
            <w:r w:rsidRPr="009D1AE0">
              <w:rPr>
                <w:i/>
                <w:sz w:val="20"/>
                <w:szCs w:val="20"/>
              </w:rPr>
              <w:t>Recebido em:</w:t>
            </w:r>
            <w:r w:rsidR="00F25210" w:rsidRPr="009D1AE0">
              <w:rPr>
                <w:i/>
                <w:sz w:val="20"/>
                <w:szCs w:val="20"/>
              </w:rPr>
              <w:t xml:space="preserve"> 07/03/24</w:t>
            </w:r>
          </w:p>
          <w:p w14:paraId="3FEC34C8" w14:textId="4E1CA910" w:rsidR="006950CD" w:rsidRPr="009D1AE0" w:rsidRDefault="00747A7F">
            <w:pPr>
              <w:keepNext/>
              <w:pBdr>
                <w:top w:val="nil"/>
                <w:left w:val="nil"/>
                <w:bottom w:val="nil"/>
                <w:right w:val="nil"/>
                <w:between w:val="nil"/>
              </w:pBdr>
              <w:spacing w:line="240" w:lineRule="auto"/>
              <w:ind w:left="0" w:hanging="2"/>
              <w:rPr>
                <w:sz w:val="20"/>
                <w:szCs w:val="20"/>
              </w:rPr>
            </w:pPr>
            <w:r w:rsidRPr="009D1AE0">
              <w:rPr>
                <w:i/>
                <w:sz w:val="20"/>
                <w:szCs w:val="20"/>
              </w:rPr>
              <w:t>Aceito em:</w:t>
            </w:r>
            <w:r w:rsidR="00F25210" w:rsidRPr="009D1AE0">
              <w:rPr>
                <w:i/>
                <w:sz w:val="20"/>
                <w:szCs w:val="20"/>
              </w:rPr>
              <w:t xml:space="preserve"> 22/01/25</w:t>
            </w:r>
          </w:p>
          <w:p w14:paraId="63B1B6B8"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p w14:paraId="33BB976C"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sz w:val="20"/>
                <w:szCs w:val="20"/>
              </w:rPr>
            </w:pPr>
          </w:p>
        </w:tc>
        <w:tc>
          <w:tcPr>
            <w:tcW w:w="284" w:type="dxa"/>
            <w:tcBorders>
              <w:left w:val="single" w:sz="4" w:space="0" w:color="000000"/>
            </w:tcBorders>
            <w:tcMar>
              <w:top w:w="0" w:type="dxa"/>
              <w:left w:w="108" w:type="dxa"/>
              <w:bottom w:w="0" w:type="dxa"/>
              <w:right w:w="108" w:type="dxa"/>
            </w:tcMar>
          </w:tcPr>
          <w:p w14:paraId="3EACD743" w14:textId="77777777" w:rsidR="006950CD" w:rsidRPr="001926A5" w:rsidRDefault="006950CD">
            <w:pPr>
              <w:keepNext/>
              <w:pBdr>
                <w:top w:val="nil"/>
                <w:left w:val="nil"/>
                <w:bottom w:val="nil"/>
                <w:right w:val="nil"/>
                <w:between w:val="nil"/>
              </w:pBdr>
              <w:spacing w:line="240" w:lineRule="auto"/>
              <w:ind w:left="0" w:hanging="2"/>
            </w:pPr>
          </w:p>
        </w:tc>
        <w:tc>
          <w:tcPr>
            <w:tcW w:w="6520" w:type="dxa"/>
            <w:tcMar>
              <w:top w:w="0" w:type="dxa"/>
              <w:left w:w="108" w:type="dxa"/>
              <w:bottom w:w="0" w:type="dxa"/>
              <w:right w:w="108" w:type="dxa"/>
            </w:tcMar>
          </w:tcPr>
          <w:p w14:paraId="07CAF4B1" w14:textId="77777777" w:rsidR="006950CD" w:rsidRPr="001926A5" w:rsidRDefault="006950CD">
            <w:pPr>
              <w:keepNext/>
              <w:pBdr>
                <w:top w:val="nil"/>
                <w:left w:val="nil"/>
                <w:bottom w:val="nil"/>
                <w:right w:val="nil"/>
                <w:between w:val="nil"/>
              </w:pBdr>
              <w:spacing w:line="240" w:lineRule="auto"/>
              <w:ind w:left="0" w:hanging="2"/>
              <w:rPr>
                <w:sz w:val="20"/>
                <w:szCs w:val="20"/>
              </w:rPr>
            </w:pPr>
          </w:p>
        </w:tc>
      </w:tr>
      <w:tr w:rsidR="001926A5" w:rsidRPr="001926A5" w14:paraId="2F0763B1" w14:textId="77777777" w:rsidTr="000067D7">
        <w:trPr>
          <w:cantSplit/>
          <w:trHeight w:val="127"/>
        </w:trPr>
        <w:tc>
          <w:tcPr>
            <w:tcW w:w="2518" w:type="dxa"/>
            <w:vMerge/>
            <w:tcMar>
              <w:top w:w="0" w:type="dxa"/>
              <w:left w:w="108" w:type="dxa"/>
              <w:bottom w:w="0" w:type="dxa"/>
              <w:right w:w="108" w:type="dxa"/>
            </w:tcMar>
          </w:tcPr>
          <w:p w14:paraId="4D6BF54C" w14:textId="77777777" w:rsidR="006950CD" w:rsidRPr="001926A5" w:rsidRDefault="006950CD">
            <w:pPr>
              <w:widowControl w:val="0"/>
              <w:pBdr>
                <w:top w:val="nil"/>
                <w:left w:val="nil"/>
                <w:bottom w:val="nil"/>
                <w:right w:val="nil"/>
                <w:between w:val="nil"/>
              </w:pBdr>
              <w:spacing w:line="276" w:lineRule="auto"/>
              <w:ind w:left="0" w:hanging="2"/>
              <w:jc w:val="left"/>
              <w:rPr>
                <w:sz w:val="20"/>
                <w:szCs w:val="20"/>
              </w:rPr>
            </w:pPr>
          </w:p>
        </w:tc>
        <w:tc>
          <w:tcPr>
            <w:tcW w:w="284" w:type="dxa"/>
            <w:tcBorders>
              <w:left w:val="single" w:sz="4" w:space="0" w:color="000000"/>
            </w:tcBorders>
            <w:tcMar>
              <w:top w:w="0" w:type="dxa"/>
              <w:left w:w="108" w:type="dxa"/>
              <w:bottom w:w="0" w:type="dxa"/>
              <w:right w:w="108" w:type="dxa"/>
            </w:tcMar>
          </w:tcPr>
          <w:p w14:paraId="41AE4B1D" w14:textId="77777777" w:rsidR="006950CD" w:rsidRPr="001926A5" w:rsidRDefault="006950CD">
            <w:pPr>
              <w:keepNext/>
              <w:pBdr>
                <w:top w:val="nil"/>
                <w:left w:val="nil"/>
                <w:bottom w:val="nil"/>
                <w:right w:val="nil"/>
                <w:between w:val="nil"/>
              </w:pBdr>
              <w:spacing w:line="240" w:lineRule="auto"/>
              <w:ind w:left="0" w:hanging="2"/>
            </w:pPr>
          </w:p>
        </w:tc>
        <w:tc>
          <w:tcPr>
            <w:tcW w:w="6520" w:type="dxa"/>
            <w:tcMar>
              <w:top w:w="0" w:type="dxa"/>
              <w:left w:w="108" w:type="dxa"/>
              <w:bottom w:w="0" w:type="dxa"/>
              <w:right w:w="108" w:type="dxa"/>
            </w:tcMar>
            <w:vAlign w:val="bottom"/>
          </w:tcPr>
          <w:p w14:paraId="56845D98" w14:textId="1C40DEC8" w:rsidR="006950CD" w:rsidRPr="00F44F88" w:rsidRDefault="00F44F88" w:rsidP="00F44F88">
            <w:pPr>
              <w:keepNext/>
              <w:pBdr>
                <w:top w:val="nil"/>
                <w:left w:val="nil"/>
                <w:bottom w:val="nil"/>
                <w:right w:val="nil"/>
                <w:between w:val="nil"/>
              </w:pBdr>
              <w:spacing w:line="240" w:lineRule="auto"/>
              <w:ind w:left="0" w:hanging="2"/>
              <w:rPr>
                <w:smallCaps/>
                <w:position w:val="0"/>
              </w:rPr>
            </w:pPr>
            <w:r w:rsidRPr="00F44F88">
              <w:rPr>
                <w:smallCaps/>
              </w:rPr>
              <w:t>R</w:t>
            </w:r>
            <w:r w:rsidRPr="00F44F88">
              <w:rPr>
                <w:smallCaps/>
                <w:position w:val="-6"/>
              </w:rPr>
              <w:t>esumo</w:t>
            </w:r>
          </w:p>
        </w:tc>
      </w:tr>
      <w:tr w:rsidR="001926A5" w:rsidRPr="001926A5" w14:paraId="7F066B93" w14:textId="77777777">
        <w:trPr>
          <w:cantSplit/>
        </w:trPr>
        <w:tc>
          <w:tcPr>
            <w:tcW w:w="2518" w:type="dxa"/>
            <w:vMerge/>
            <w:tcMar>
              <w:top w:w="0" w:type="dxa"/>
              <w:left w:w="108" w:type="dxa"/>
              <w:bottom w:w="0" w:type="dxa"/>
              <w:right w:w="108" w:type="dxa"/>
            </w:tcMar>
          </w:tcPr>
          <w:p w14:paraId="49883E1D" w14:textId="77777777" w:rsidR="006950CD" w:rsidRPr="001926A5" w:rsidRDefault="006950CD">
            <w:pPr>
              <w:widowControl w:val="0"/>
              <w:pBdr>
                <w:top w:val="nil"/>
                <w:left w:val="nil"/>
                <w:bottom w:val="nil"/>
                <w:right w:val="nil"/>
                <w:between w:val="nil"/>
              </w:pBdr>
              <w:spacing w:line="276" w:lineRule="auto"/>
              <w:ind w:left="0" w:hanging="2"/>
              <w:jc w:val="left"/>
            </w:pPr>
          </w:p>
        </w:tc>
        <w:tc>
          <w:tcPr>
            <w:tcW w:w="284" w:type="dxa"/>
            <w:tcBorders>
              <w:left w:val="single" w:sz="4" w:space="0" w:color="000000"/>
            </w:tcBorders>
            <w:tcMar>
              <w:top w:w="0" w:type="dxa"/>
              <w:left w:w="108" w:type="dxa"/>
              <w:bottom w:w="0" w:type="dxa"/>
              <w:right w:w="108" w:type="dxa"/>
            </w:tcMar>
          </w:tcPr>
          <w:p w14:paraId="0AC3BCF3" w14:textId="77777777" w:rsidR="006950CD" w:rsidRPr="001926A5" w:rsidRDefault="006950CD">
            <w:pPr>
              <w:keepNext/>
              <w:pBdr>
                <w:top w:val="nil"/>
                <w:left w:val="nil"/>
                <w:bottom w:val="nil"/>
                <w:right w:val="nil"/>
                <w:between w:val="nil"/>
              </w:pBdr>
              <w:spacing w:line="240" w:lineRule="auto"/>
              <w:ind w:left="0" w:hanging="2"/>
              <w:rPr>
                <w:sz w:val="22"/>
                <w:szCs w:val="22"/>
              </w:rPr>
            </w:pPr>
          </w:p>
        </w:tc>
        <w:tc>
          <w:tcPr>
            <w:tcW w:w="6520" w:type="dxa"/>
            <w:tcMar>
              <w:top w:w="0" w:type="dxa"/>
              <w:left w:w="108" w:type="dxa"/>
              <w:bottom w:w="0" w:type="dxa"/>
              <w:right w:w="108" w:type="dxa"/>
            </w:tcMar>
          </w:tcPr>
          <w:p w14:paraId="123464A9" w14:textId="499D279A" w:rsidR="006950CD" w:rsidRPr="001926A5" w:rsidRDefault="00747A7F">
            <w:pPr>
              <w:keepNext/>
              <w:spacing w:line="240" w:lineRule="auto"/>
              <w:ind w:left="0" w:hanging="2"/>
              <w:rPr>
                <w:sz w:val="17"/>
                <w:szCs w:val="17"/>
              </w:rPr>
            </w:pPr>
            <w:r w:rsidRPr="001926A5">
              <w:rPr>
                <w:sz w:val="17"/>
                <w:szCs w:val="17"/>
              </w:rPr>
              <w:t>Este artigo investigou preditores da adesão ao tratamento entre variáveis sociodemográficas, médico-clínicas</w:t>
            </w:r>
            <w:r w:rsidR="00BF4DAB">
              <w:rPr>
                <w:sz w:val="17"/>
                <w:szCs w:val="17"/>
              </w:rPr>
              <w:t>,</w:t>
            </w:r>
            <w:r w:rsidRPr="001926A5">
              <w:rPr>
                <w:sz w:val="17"/>
                <w:szCs w:val="17"/>
              </w:rPr>
              <w:t xml:space="preserve"> risco psicológico de não ajustamento à </w:t>
            </w:r>
            <w:proofErr w:type="spellStart"/>
            <w:r w:rsidRPr="001926A5">
              <w:rPr>
                <w:sz w:val="17"/>
                <w:szCs w:val="17"/>
              </w:rPr>
              <w:t>soropositividade</w:t>
            </w:r>
            <w:proofErr w:type="spellEnd"/>
            <w:r w:rsidRPr="001926A5">
              <w:rPr>
                <w:sz w:val="17"/>
                <w:szCs w:val="17"/>
              </w:rPr>
              <w:t xml:space="preserve"> e </w:t>
            </w:r>
            <w:proofErr w:type="spellStart"/>
            <w:r w:rsidRPr="001926A5">
              <w:rPr>
                <w:i/>
                <w:sz w:val="17"/>
                <w:szCs w:val="17"/>
              </w:rPr>
              <w:t>distress</w:t>
            </w:r>
            <w:proofErr w:type="spellEnd"/>
            <w:r w:rsidRPr="001926A5">
              <w:rPr>
                <w:sz w:val="17"/>
                <w:szCs w:val="17"/>
              </w:rPr>
              <w:t xml:space="preserve"> em pessoas vivendo com HIV (PVHIV). Participaram 130 PVHIV, 63,8% homens, média de idade de 37,6 anos. Na análise de regressão múltipla, os resultados revelaram que a variável critério adesão teve três preditores significativos:</w:t>
            </w:r>
            <w:r w:rsidR="00F1708E">
              <w:rPr>
                <w:sz w:val="17"/>
                <w:szCs w:val="17"/>
              </w:rPr>
              <w:t>(a</w:t>
            </w:r>
            <w:r w:rsidR="00F2363D">
              <w:rPr>
                <w:sz w:val="17"/>
                <w:szCs w:val="17"/>
              </w:rPr>
              <w:t xml:space="preserve">) </w:t>
            </w:r>
            <w:r w:rsidRPr="001926A5">
              <w:rPr>
                <w:sz w:val="17"/>
                <w:szCs w:val="17"/>
              </w:rPr>
              <w:t>ausência de histórico de interrupção do tratamento por conta própria</w:t>
            </w:r>
            <w:r w:rsidR="00F2363D">
              <w:rPr>
                <w:sz w:val="17"/>
                <w:szCs w:val="17"/>
              </w:rPr>
              <w:t>;</w:t>
            </w:r>
            <w:r w:rsidRPr="001926A5">
              <w:rPr>
                <w:sz w:val="17"/>
                <w:szCs w:val="17"/>
              </w:rPr>
              <w:t xml:space="preserve"> </w:t>
            </w:r>
            <w:r w:rsidR="00F1708E">
              <w:rPr>
                <w:sz w:val="17"/>
                <w:szCs w:val="17"/>
              </w:rPr>
              <w:t>(b</w:t>
            </w:r>
            <w:r w:rsidR="00F2363D">
              <w:rPr>
                <w:sz w:val="17"/>
                <w:szCs w:val="17"/>
              </w:rPr>
              <w:t xml:space="preserve">) </w:t>
            </w:r>
            <w:r w:rsidRPr="001926A5">
              <w:rPr>
                <w:sz w:val="17"/>
                <w:szCs w:val="17"/>
              </w:rPr>
              <w:t xml:space="preserve">ter mais idade e </w:t>
            </w:r>
            <w:r w:rsidR="00F1708E">
              <w:rPr>
                <w:sz w:val="17"/>
                <w:szCs w:val="17"/>
              </w:rPr>
              <w:t>(c</w:t>
            </w:r>
            <w:r w:rsidR="00F2363D">
              <w:rPr>
                <w:sz w:val="17"/>
                <w:szCs w:val="17"/>
              </w:rPr>
              <w:t xml:space="preserve">) </w:t>
            </w:r>
            <w:r w:rsidRPr="001926A5">
              <w:rPr>
                <w:sz w:val="17"/>
                <w:szCs w:val="17"/>
              </w:rPr>
              <w:t>escores indicativos de ausência/baixo índice de risco psicológico de não ajustamento. O estudo destaca a necessidade de atendimento integral e de qualidade, visando melhores níveis de adesão em HIV/aids.</w:t>
            </w:r>
          </w:p>
        </w:tc>
      </w:tr>
      <w:tr w:rsidR="001926A5" w:rsidRPr="001926A5" w14:paraId="4AD63CEF" w14:textId="77777777">
        <w:trPr>
          <w:cantSplit/>
          <w:trHeight w:val="161"/>
        </w:trPr>
        <w:tc>
          <w:tcPr>
            <w:tcW w:w="2518" w:type="dxa"/>
            <w:vMerge/>
            <w:tcMar>
              <w:top w:w="0" w:type="dxa"/>
              <w:left w:w="108" w:type="dxa"/>
              <w:bottom w:w="0" w:type="dxa"/>
              <w:right w:w="108" w:type="dxa"/>
            </w:tcMar>
          </w:tcPr>
          <w:p w14:paraId="3459F1D8" w14:textId="77777777" w:rsidR="006950CD" w:rsidRPr="001926A5" w:rsidRDefault="006950CD">
            <w:pPr>
              <w:widowControl w:val="0"/>
              <w:pBdr>
                <w:top w:val="nil"/>
                <w:left w:val="nil"/>
                <w:bottom w:val="nil"/>
                <w:right w:val="nil"/>
                <w:between w:val="nil"/>
              </w:pBdr>
              <w:spacing w:line="276" w:lineRule="auto"/>
              <w:ind w:left="0" w:hanging="2"/>
              <w:jc w:val="left"/>
              <w:rPr>
                <w:sz w:val="17"/>
                <w:szCs w:val="17"/>
              </w:rPr>
            </w:pPr>
          </w:p>
        </w:tc>
        <w:tc>
          <w:tcPr>
            <w:tcW w:w="284" w:type="dxa"/>
            <w:tcBorders>
              <w:left w:val="single" w:sz="4" w:space="0" w:color="000000"/>
            </w:tcBorders>
            <w:tcMar>
              <w:top w:w="0" w:type="dxa"/>
              <w:left w:w="108" w:type="dxa"/>
              <w:bottom w:w="0" w:type="dxa"/>
              <w:right w:w="108" w:type="dxa"/>
            </w:tcMar>
          </w:tcPr>
          <w:p w14:paraId="799FC6A7"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rPr>
            </w:pPr>
          </w:p>
        </w:tc>
        <w:tc>
          <w:tcPr>
            <w:tcW w:w="6520" w:type="dxa"/>
            <w:tcMar>
              <w:top w:w="0" w:type="dxa"/>
              <w:left w:w="108" w:type="dxa"/>
              <w:bottom w:w="0" w:type="dxa"/>
              <w:right w:w="108" w:type="dxa"/>
            </w:tcMar>
          </w:tcPr>
          <w:p w14:paraId="0194F70C" w14:textId="75490CF4" w:rsidR="006950CD" w:rsidRPr="001926A5" w:rsidRDefault="00F44F88">
            <w:pPr>
              <w:keepNext/>
              <w:pBdr>
                <w:top w:val="nil"/>
                <w:left w:val="nil"/>
                <w:bottom w:val="nil"/>
                <w:right w:val="nil"/>
                <w:between w:val="nil"/>
              </w:pBdr>
              <w:spacing w:line="240" w:lineRule="auto"/>
              <w:ind w:left="0" w:hanging="2"/>
            </w:pPr>
            <w:r>
              <w:rPr>
                <w:smallCaps/>
              </w:rPr>
              <w:t>P</w:t>
            </w:r>
            <w:proofErr w:type="spellStart"/>
            <w:r w:rsidR="00C92C20" w:rsidRPr="00F44F88">
              <w:rPr>
                <w:smallCaps/>
                <w:position w:val="-6"/>
              </w:rPr>
              <w:t>alavras</w:t>
            </w:r>
            <w:proofErr w:type="spellEnd"/>
            <w:r w:rsidRPr="00F44F88">
              <w:rPr>
                <w:position w:val="0"/>
              </w:rPr>
              <w:t>-</w:t>
            </w:r>
            <w:r w:rsidR="00747A7F" w:rsidRPr="00F44F88">
              <w:rPr>
                <w:smallCaps/>
                <w:position w:val="-6"/>
              </w:rPr>
              <w:t>chave</w:t>
            </w:r>
            <w:r w:rsidR="00747A7F" w:rsidRPr="001926A5">
              <w:rPr>
                <w:smallCaps/>
              </w:rPr>
              <w:t>:</w:t>
            </w:r>
            <w:r w:rsidR="00523FBF">
              <w:rPr>
                <w:smallCaps/>
              </w:rPr>
              <w:t xml:space="preserve"> </w:t>
            </w:r>
          </w:p>
        </w:tc>
      </w:tr>
      <w:tr w:rsidR="001926A5" w:rsidRPr="001926A5" w14:paraId="62534903" w14:textId="77777777">
        <w:trPr>
          <w:cantSplit/>
        </w:trPr>
        <w:tc>
          <w:tcPr>
            <w:tcW w:w="2518" w:type="dxa"/>
            <w:vMerge/>
            <w:tcMar>
              <w:top w:w="0" w:type="dxa"/>
              <w:left w:w="108" w:type="dxa"/>
              <w:bottom w:w="0" w:type="dxa"/>
              <w:right w:w="108" w:type="dxa"/>
            </w:tcMar>
          </w:tcPr>
          <w:p w14:paraId="17EC71CC" w14:textId="77777777" w:rsidR="006950CD" w:rsidRPr="001926A5" w:rsidRDefault="006950CD">
            <w:pPr>
              <w:widowControl w:val="0"/>
              <w:pBdr>
                <w:top w:val="nil"/>
                <w:left w:val="nil"/>
                <w:bottom w:val="nil"/>
                <w:right w:val="nil"/>
                <w:between w:val="nil"/>
              </w:pBdr>
              <w:spacing w:line="276" w:lineRule="auto"/>
              <w:ind w:left="0" w:hanging="2"/>
              <w:jc w:val="left"/>
            </w:pPr>
          </w:p>
        </w:tc>
        <w:tc>
          <w:tcPr>
            <w:tcW w:w="284" w:type="dxa"/>
            <w:tcBorders>
              <w:left w:val="single" w:sz="4" w:space="0" w:color="000000"/>
            </w:tcBorders>
            <w:tcMar>
              <w:top w:w="0" w:type="dxa"/>
              <w:left w:w="108" w:type="dxa"/>
              <w:bottom w:w="0" w:type="dxa"/>
              <w:right w:w="108" w:type="dxa"/>
            </w:tcMar>
          </w:tcPr>
          <w:p w14:paraId="64D65D4C" w14:textId="77777777" w:rsidR="006950CD" w:rsidRPr="001926A5" w:rsidRDefault="006950CD">
            <w:pPr>
              <w:keepNext/>
              <w:pBdr>
                <w:top w:val="nil"/>
                <w:left w:val="nil"/>
                <w:bottom w:val="nil"/>
                <w:right w:val="nil"/>
                <w:between w:val="nil"/>
              </w:pBdr>
              <w:spacing w:line="240" w:lineRule="auto"/>
              <w:ind w:left="0" w:hanging="2"/>
              <w:rPr>
                <w:sz w:val="22"/>
                <w:szCs w:val="22"/>
              </w:rPr>
            </w:pPr>
          </w:p>
        </w:tc>
        <w:tc>
          <w:tcPr>
            <w:tcW w:w="6520" w:type="dxa"/>
            <w:tcMar>
              <w:top w:w="0" w:type="dxa"/>
              <w:left w:w="108" w:type="dxa"/>
              <w:bottom w:w="0" w:type="dxa"/>
              <w:right w:w="108" w:type="dxa"/>
            </w:tcMar>
          </w:tcPr>
          <w:p w14:paraId="0EC623AC" w14:textId="77777777" w:rsidR="006950CD" w:rsidRPr="001926A5" w:rsidRDefault="00747A7F">
            <w:pPr>
              <w:keepNext/>
              <w:pBdr>
                <w:top w:val="nil"/>
                <w:left w:val="nil"/>
                <w:bottom w:val="nil"/>
                <w:right w:val="nil"/>
                <w:between w:val="nil"/>
              </w:pBdr>
              <w:spacing w:line="240" w:lineRule="auto"/>
              <w:ind w:left="0" w:hanging="2"/>
              <w:rPr>
                <w:sz w:val="17"/>
                <w:szCs w:val="17"/>
              </w:rPr>
            </w:pPr>
            <w:r w:rsidRPr="001926A5">
              <w:rPr>
                <w:sz w:val="17"/>
                <w:szCs w:val="17"/>
              </w:rPr>
              <w:t>HIV; Adesão ao tratamento; Sofrimento emocional; Ajustamento.</w:t>
            </w:r>
          </w:p>
        </w:tc>
      </w:tr>
      <w:tr w:rsidR="001926A5" w:rsidRPr="001926A5" w14:paraId="58604EFB" w14:textId="77777777">
        <w:trPr>
          <w:cantSplit/>
        </w:trPr>
        <w:tc>
          <w:tcPr>
            <w:tcW w:w="2518" w:type="dxa"/>
            <w:vMerge/>
            <w:tcMar>
              <w:top w:w="0" w:type="dxa"/>
              <w:left w:w="108" w:type="dxa"/>
              <w:bottom w:w="0" w:type="dxa"/>
              <w:right w:w="108" w:type="dxa"/>
            </w:tcMar>
          </w:tcPr>
          <w:p w14:paraId="3024D587" w14:textId="77777777" w:rsidR="006950CD" w:rsidRPr="001926A5" w:rsidRDefault="006950CD">
            <w:pPr>
              <w:widowControl w:val="0"/>
              <w:pBdr>
                <w:top w:val="nil"/>
                <w:left w:val="nil"/>
                <w:bottom w:val="nil"/>
                <w:right w:val="nil"/>
                <w:between w:val="nil"/>
              </w:pBdr>
              <w:spacing w:line="276" w:lineRule="auto"/>
              <w:ind w:left="0" w:hanging="2"/>
              <w:jc w:val="left"/>
              <w:rPr>
                <w:sz w:val="17"/>
                <w:szCs w:val="17"/>
              </w:rPr>
            </w:pPr>
          </w:p>
        </w:tc>
        <w:tc>
          <w:tcPr>
            <w:tcW w:w="284" w:type="dxa"/>
            <w:tcBorders>
              <w:left w:val="single" w:sz="4" w:space="0" w:color="000000"/>
            </w:tcBorders>
            <w:tcMar>
              <w:top w:w="0" w:type="dxa"/>
              <w:left w:w="108" w:type="dxa"/>
              <w:bottom w:w="0" w:type="dxa"/>
              <w:right w:w="108" w:type="dxa"/>
            </w:tcMar>
          </w:tcPr>
          <w:p w14:paraId="102062EE" w14:textId="77777777" w:rsidR="006950CD" w:rsidRPr="001926A5" w:rsidRDefault="006950CD">
            <w:pPr>
              <w:keepNext/>
              <w:pBdr>
                <w:top w:val="nil"/>
                <w:left w:val="nil"/>
                <w:bottom w:val="nil"/>
                <w:right w:val="nil"/>
                <w:between w:val="nil"/>
              </w:pBdr>
              <w:spacing w:line="240" w:lineRule="auto"/>
              <w:ind w:left="0" w:hanging="2"/>
              <w:rPr>
                <w:sz w:val="22"/>
                <w:szCs w:val="22"/>
              </w:rPr>
            </w:pPr>
          </w:p>
        </w:tc>
        <w:tc>
          <w:tcPr>
            <w:tcW w:w="6520" w:type="dxa"/>
            <w:tcMar>
              <w:top w:w="0" w:type="dxa"/>
              <w:left w:w="108" w:type="dxa"/>
              <w:bottom w:w="0" w:type="dxa"/>
              <w:right w:w="108" w:type="dxa"/>
            </w:tcMar>
          </w:tcPr>
          <w:p w14:paraId="457FF17E" w14:textId="77777777" w:rsidR="006950CD" w:rsidRPr="001926A5" w:rsidRDefault="006950CD" w:rsidP="00397064">
            <w:pPr>
              <w:keepNext/>
              <w:pBdr>
                <w:top w:val="nil"/>
                <w:left w:val="nil"/>
                <w:bottom w:val="nil"/>
                <w:right w:val="nil"/>
                <w:between w:val="nil"/>
              </w:pBdr>
              <w:spacing w:line="240" w:lineRule="auto"/>
              <w:ind w:leftChars="0" w:left="0" w:firstLineChars="0" w:firstLine="0"/>
              <w:rPr>
                <w:sz w:val="22"/>
                <w:szCs w:val="22"/>
              </w:rPr>
            </w:pPr>
          </w:p>
        </w:tc>
      </w:tr>
      <w:tr w:rsidR="001926A5" w:rsidRPr="001926A5" w14:paraId="51AE5B3E" w14:textId="77777777">
        <w:trPr>
          <w:cantSplit/>
        </w:trPr>
        <w:tc>
          <w:tcPr>
            <w:tcW w:w="2518" w:type="dxa"/>
            <w:vMerge/>
            <w:tcMar>
              <w:top w:w="0" w:type="dxa"/>
              <w:left w:w="108" w:type="dxa"/>
              <w:bottom w:w="0" w:type="dxa"/>
              <w:right w:w="108" w:type="dxa"/>
            </w:tcMar>
          </w:tcPr>
          <w:p w14:paraId="01C2D5B8" w14:textId="77777777" w:rsidR="006950CD" w:rsidRPr="001926A5" w:rsidRDefault="006950CD">
            <w:pPr>
              <w:widowControl w:val="0"/>
              <w:pBdr>
                <w:top w:val="nil"/>
                <w:left w:val="nil"/>
                <w:bottom w:val="nil"/>
                <w:right w:val="nil"/>
                <w:between w:val="nil"/>
              </w:pBdr>
              <w:spacing w:line="276" w:lineRule="auto"/>
              <w:ind w:left="0" w:hanging="2"/>
              <w:jc w:val="left"/>
              <w:rPr>
                <w:sz w:val="22"/>
                <w:szCs w:val="22"/>
              </w:rPr>
            </w:pPr>
          </w:p>
        </w:tc>
        <w:tc>
          <w:tcPr>
            <w:tcW w:w="284" w:type="dxa"/>
            <w:tcBorders>
              <w:left w:val="single" w:sz="4" w:space="0" w:color="000000"/>
            </w:tcBorders>
            <w:tcMar>
              <w:top w:w="0" w:type="dxa"/>
              <w:left w:w="108" w:type="dxa"/>
              <w:bottom w:w="0" w:type="dxa"/>
              <w:right w:w="108" w:type="dxa"/>
            </w:tcMar>
          </w:tcPr>
          <w:p w14:paraId="2A8DA1DA" w14:textId="77777777" w:rsidR="006950CD" w:rsidRPr="001926A5" w:rsidRDefault="006950CD">
            <w:pPr>
              <w:keepNext/>
              <w:pBdr>
                <w:top w:val="nil"/>
                <w:left w:val="nil"/>
                <w:bottom w:val="nil"/>
                <w:right w:val="nil"/>
                <w:between w:val="nil"/>
              </w:pBdr>
              <w:spacing w:line="240" w:lineRule="auto"/>
              <w:ind w:left="0" w:hanging="2"/>
            </w:pPr>
          </w:p>
        </w:tc>
        <w:tc>
          <w:tcPr>
            <w:tcW w:w="6520" w:type="dxa"/>
            <w:tcMar>
              <w:top w:w="0" w:type="dxa"/>
              <w:left w:w="108" w:type="dxa"/>
              <w:bottom w:w="0" w:type="dxa"/>
              <w:right w:w="108" w:type="dxa"/>
            </w:tcMar>
          </w:tcPr>
          <w:p w14:paraId="1686EFE8" w14:textId="406CE8F5" w:rsidR="006950CD" w:rsidRPr="001926A5" w:rsidRDefault="00F44F88">
            <w:pPr>
              <w:keepNext/>
              <w:pBdr>
                <w:top w:val="nil"/>
                <w:left w:val="nil"/>
                <w:bottom w:val="nil"/>
                <w:right w:val="nil"/>
                <w:between w:val="nil"/>
              </w:pBdr>
              <w:tabs>
                <w:tab w:val="left" w:pos="4470"/>
              </w:tabs>
              <w:spacing w:line="240" w:lineRule="auto"/>
              <w:ind w:left="0" w:hanging="2"/>
            </w:pPr>
            <w:r>
              <w:rPr>
                <w:smallCaps/>
              </w:rPr>
              <w:t>A</w:t>
            </w:r>
            <w:r w:rsidR="00747A7F" w:rsidRPr="00F44F88">
              <w:rPr>
                <w:smallCaps/>
                <w:position w:val="-6"/>
              </w:rPr>
              <w:t>bstract</w:t>
            </w:r>
            <w:r w:rsidR="00747A7F" w:rsidRPr="001926A5">
              <w:rPr>
                <w:smallCaps/>
              </w:rPr>
              <w:tab/>
            </w:r>
          </w:p>
        </w:tc>
      </w:tr>
      <w:tr w:rsidR="001926A5" w:rsidRPr="00560FEB" w14:paraId="0B2C7A43" w14:textId="77777777">
        <w:trPr>
          <w:cantSplit/>
        </w:trPr>
        <w:tc>
          <w:tcPr>
            <w:tcW w:w="2518" w:type="dxa"/>
            <w:vMerge/>
            <w:tcMar>
              <w:top w:w="0" w:type="dxa"/>
              <w:left w:w="108" w:type="dxa"/>
              <w:bottom w:w="0" w:type="dxa"/>
              <w:right w:w="108" w:type="dxa"/>
            </w:tcMar>
          </w:tcPr>
          <w:p w14:paraId="28EF29B3" w14:textId="77777777" w:rsidR="006950CD" w:rsidRPr="001926A5" w:rsidRDefault="006950CD">
            <w:pPr>
              <w:widowControl w:val="0"/>
              <w:pBdr>
                <w:top w:val="nil"/>
                <w:left w:val="nil"/>
                <w:bottom w:val="nil"/>
                <w:right w:val="nil"/>
                <w:between w:val="nil"/>
              </w:pBdr>
              <w:spacing w:line="276" w:lineRule="auto"/>
              <w:ind w:left="0" w:hanging="2"/>
              <w:jc w:val="left"/>
              <w:rPr>
                <w:highlight w:val="yellow"/>
              </w:rPr>
            </w:pPr>
          </w:p>
        </w:tc>
        <w:tc>
          <w:tcPr>
            <w:tcW w:w="284" w:type="dxa"/>
            <w:tcBorders>
              <w:left w:val="single" w:sz="4" w:space="0" w:color="000000"/>
            </w:tcBorders>
            <w:tcMar>
              <w:top w:w="0" w:type="dxa"/>
              <w:left w:w="108" w:type="dxa"/>
              <w:bottom w:w="0" w:type="dxa"/>
              <w:right w:w="108" w:type="dxa"/>
            </w:tcMar>
          </w:tcPr>
          <w:p w14:paraId="7A1F7923" w14:textId="77777777" w:rsidR="006950CD" w:rsidRPr="001926A5" w:rsidRDefault="006950CD">
            <w:pPr>
              <w:keepNext/>
              <w:pBdr>
                <w:top w:val="nil"/>
                <w:left w:val="nil"/>
                <w:bottom w:val="nil"/>
                <w:right w:val="nil"/>
                <w:between w:val="nil"/>
              </w:pBdr>
              <w:spacing w:line="240" w:lineRule="auto"/>
              <w:ind w:left="0" w:hanging="2"/>
              <w:rPr>
                <w:sz w:val="22"/>
                <w:szCs w:val="22"/>
              </w:rPr>
            </w:pPr>
          </w:p>
        </w:tc>
        <w:tc>
          <w:tcPr>
            <w:tcW w:w="6520" w:type="dxa"/>
            <w:tcMar>
              <w:top w:w="0" w:type="dxa"/>
              <w:left w:w="108" w:type="dxa"/>
              <w:bottom w:w="0" w:type="dxa"/>
              <w:right w:w="108" w:type="dxa"/>
            </w:tcMar>
          </w:tcPr>
          <w:p w14:paraId="24772E00" w14:textId="33B13B05" w:rsidR="006950CD" w:rsidRPr="001926A5" w:rsidRDefault="00747A7F" w:rsidP="00292DFF">
            <w:pPr>
              <w:keepNext/>
              <w:spacing w:line="240" w:lineRule="auto"/>
              <w:ind w:left="0" w:hanging="2"/>
              <w:rPr>
                <w:sz w:val="17"/>
                <w:szCs w:val="17"/>
                <w:lang w:val="en-US"/>
              </w:rPr>
            </w:pPr>
            <w:r w:rsidRPr="001926A5">
              <w:rPr>
                <w:sz w:val="17"/>
                <w:szCs w:val="17"/>
                <w:lang w:val="en-US"/>
              </w:rPr>
              <w:t>This article investigated predictors of treatment adherence among</w:t>
            </w:r>
            <w:r w:rsidR="00011A99">
              <w:rPr>
                <w:sz w:val="17"/>
                <w:szCs w:val="17"/>
                <w:lang w:val="en-US"/>
              </w:rPr>
              <w:t xml:space="preserve"> </w:t>
            </w:r>
            <w:r w:rsidR="00011A99" w:rsidRPr="00011A99">
              <w:rPr>
                <w:sz w:val="17"/>
                <w:szCs w:val="17"/>
                <w:lang w:val="en-US"/>
              </w:rPr>
              <w:t xml:space="preserve">sociodemographic and medical-clinical </w:t>
            </w:r>
            <w:r w:rsidR="003804BB" w:rsidRPr="00011A99">
              <w:rPr>
                <w:sz w:val="17"/>
                <w:szCs w:val="17"/>
                <w:lang w:val="en-US"/>
              </w:rPr>
              <w:t>variables</w:t>
            </w:r>
            <w:r w:rsidR="003804BB">
              <w:rPr>
                <w:sz w:val="17"/>
                <w:szCs w:val="17"/>
                <w:lang w:val="en-US"/>
              </w:rPr>
              <w:t>,</w:t>
            </w:r>
            <w:r w:rsidRPr="001926A5">
              <w:rPr>
                <w:sz w:val="17"/>
                <w:szCs w:val="17"/>
                <w:lang w:val="en-US"/>
              </w:rPr>
              <w:t xml:space="preserve"> psychological risk of non-adjustment to seropositivity</w:t>
            </w:r>
            <w:r w:rsidR="00011A99">
              <w:rPr>
                <w:sz w:val="17"/>
                <w:szCs w:val="17"/>
                <w:lang w:val="en-US"/>
              </w:rPr>
              <w:t>,</w:t>
            </w:r>
            <w:r w:rsidRPr="001926A5">
              <w:rPr>
                <w:sz w:val="17"/>
                <w:szCs w:val="17"/>
                <w:lang w:val="en-US"/>
              </w:rPr>
              <w:t xml:space="preserve"> and distress in people living with HIV (PLHIV</w:t>
            </w:r>
            <w:r w:rsidR="00011A99">
              <w:rPr>
                <w:sz w:val="17"/>
                <w:szCs w:val="17"/>
                <w:lang w:val="en-US"/>
              </w:rPr>
              <w:t xml:space="preserve">). </w:t>
            </w:r>
            <w:r w:rsidR="00011A99" w:rsidRPr="00011A99">
              <w:rPr>
                <w:sz w:val="17"/>
                <w:szCs w:val="17"/>
                <w:lang w:val="en-US"/>
              </w:rPr>
              <w:t>A total of 130</w:t>
            </w:r>
            <w:r w:rsidRPr="001926A5">
              <w:rPr>
                <w:sz w:val="17"/>
                <w:szCs w:val="17"/>
                <w:lang w:val="en-US"/>
              </w:rPr>
              <w:t xml:space="preserve"> PLHIV participated, 63.8% men, mean age 37.6 years. In the multiple regression analysis, the results revealed that the adherence criterion variable had three significant predictors: </w:t>
            </w:r>
            <w:r w:rsidR="00F1708E">
              <w:rPr>
                <w:sz w:val="17"/>
                <w:szCs w:val="17"/>
                <w:lang w:val="en-US"/>
              </w:rPr>
              <w:t>(a</w:t>
            </w:r>
            <w:r w:rsidR="00011A99">
              <w:rPr>
                <w:sz w:val="17"/>
                <w:szCs w:val="17"/>
                <w:lang w:val="en-US"/>
              </w:rPr>
              <w:t xml:space="preserve">) </w:t>
            </w:r>
            <w:r w:rsidRPr="001926A5">
              <w:rPr>
                <w:sz w:val="17"/>
                <w:szCs w:val="17"/>
                <w:lang w:val="en-US"/>
              </w:rPr>
              <w:t>absence of a history of interrupting treatment on one's own</w:t>
            </w:r>
            <w:r w:rsidR="00011A99">
              <w:rPr>
                <w:sz w:val="17"/>
                <w:szCs w:val="17"/>
                <w:lang w:val="en-US"/>
              </w:rPr>
              <w:t>;</w:t>
            </w:r>
            <w:r w:rsidRPr="001926A5">
              <w:rPr>
                <w:sz w:val="17"/>
                <w:szCs w:val="17"/>
                <w:lang w:val="en-US"/>
              </w:rPr>
              <w:t xml:space="preserve"> </w:t>
            </w:r>
            <w:r w:rsidR="00F1708E">
              <w:rPr>
                <w:sz w:val="17"/>
                <w:szCs w:val="17"/>
                <w:lang w:val="en-US"/>
              </w:rPr>
              <w:t>(b</w:t>
            </w:r>
            <w:r w:rsidR="00011A99">
              <w:rPr>
                <w:sz w:val="17"/>
                <w:szCs w:val="17"/>
                <w:lang w:val="en-US"/>
              </w:rPr>
              <w:t xml:space="preserve">) </w:t>
            </w:r>
            <w:r w:rsidRPr="001926A5">
              <w:rPr>
                <w:sz w:val="17"/>
                <w:szCs w:val="17"/>
                <w:lang w:val="en-US"/>
              </w:rPr>
              <w:t xml:space="preserve">being older and </w:t>
            </w:r>
            <w:r w:rsidR="00F1708E">
              <w:rPr>
                <w:sz w:val="17"/>
                <w:szCs w:val="17"/>
                <w:lang w:val="en-US"/>
              </w:rPr>
              <w:t>(c</w:t>
            </w:r>
            <w:r w:rsidR="00011A99">
              <w:rPr>
                <w:sz w:val="17"/>
                <w:szCs w:val="17"/>
                <w:lang w:val="en-US"/>
              </w:rPr>
              <w:t xml:space="preserve">) </w:t>
            </w:r>
            <w:r w:rsidRPr="001926A5">
              <w:rPr>
                <w:sz w:val="17"/>
                <w:szCs w:val="17"/>
                <w:lang w:val="en-US"/>
              </w:rPr>
              <w:t>scores indicating absence/low index of psychological risk of non-adjustment. The study highlights the need for comprehensive</w:t>
            </w:r>
            <w:r w:rsidR="00292DFF">
              <w:rPr>
                <w:sz w:val="17"/>
                <w:szCs w:val="17"/>
                <w:lang w:val="en-US"/>
              </w:rPr>
              <w:t xml:space="preserve"> and quality</w:t>
            </w:r>
            <w:r w:rsidRPr="001926A5">
              <w:rPr>
                <w:sz w:val="17"/>
                <w:szCs w:val="17"/>
                <w:lang w:val="en-US"/>
              </w:rPr>
              <w:t xml:space="preserve"> care, aiming </w:t>
            </w:r>
            <w:r w:rsidR="00292DFF">
              <w:rPr>
                <w:sz w:val="17"/>
                <w:szCs w:val="17"/>
                <w:lang w:val="en-US"/>
              </w:rPr>
              <w:t>at</w:t>
            </w:r>
            <w:r w:rsidRPr="001926A5">
              <w:rPr>
                <w:sz w:val="17"/>
                <w:szCs w:val="17"/>
                <w:lang w:val="en-US"/>
              </w:rPr>
              <w:t xml:space="preserve"> better levels of HIV/AIDS adherence.</w:t>
            </w:r>
          </w:p>
        </w:tc>
      </w:tr>
      <w:tr w:rsidR="001926A5" w:rsidRPr="001926A5" w14:paraId="4702F3F4" w14:textId="77777777">
        <w:trPr>
          <w:cantSplit/>
        </w:trPr>
        <w:tc>
          <w:tcPr>
            <w:tcW w:w="2518" w:type="dxa"/>
            <w:vMerge/>
            <w:tcMar>
              <w:top w:w="0" w:type="dxa"/>
              <w:left w:w="108" w:type="dxa"/>
              <w:bottom w:w="0" w:type="dxa"/>
              <w:right w:w="108" w:type="dxa"/>
            </w:tcMar>
          </w:tcPr>
          <w:p w14:paraId="445B2206" w14:textId="77777777" w:rsidR="006950CD" w:rsidRPr="001926A5" w:rsidRDefault="006950CD">
            <w:pPr>
              <w:widowControl w:val="0"/>
              <w:pBdr>
                <w:top w:val="nil"/>
                <w:left w:val="nil"/>
                <w:bottom w:val="nil"/>
                <w:right w:val="nil"/>
                <w:between w:val="nil"/>
              </w:pBdr>
              <w:spacing w:line="276" w:lineRule="auto"/>
              <w:ind w:left="0" w:hanging="2"/>
              <w:jc w:val="left"/>
              <w:rPr>
                <w:sz w:val="17"/>
                <w:szCs w:val="17"/>
                <w:lang w:val="en-US"/>
              </w:rPr>
            </w:pPr>
          </w:p>
        </w:tc>
        <w:tc>
          <w:tcPr>
            <w:tcW w:w="284" w:type="dxa"/>
            <w:tcBorders>
              <w:left w:val="single" w:sz="4" w:space="0" w:color="000000"/>
            </w:tcBorders>
            <w:tcMar>
              <w:top w:w="0" w:type="dxa"/>
              <w:left w:w="108" w:type="dxa"/>
              <w:bottom w:w="0" w:type="dxa"/>
              <w:right w:w="108" w:type="dxa"/>
            </w:tcMar>
          </w:tcPr>
          <w:p w14:paraId="7735172B"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lang w:val="en-US"/>
              </w:rPr>
            </w:pPr>
          </w:p>
        </w:tc>
        <w:tc>
          <w:tcPr>
            <w:tcW w:w="6520" w:type="dxa"/>
            <w:tcMar>
              <w:top w:w="0" w:type="dxa"/>
              <w:left w:w="108" w:type="dxa"/>
              <w:bottom w:w="0" w:type="dxa"/>
              <w:right w:w="108" w:type="dxa"/>
            </w:tcMar>
          </w:tcPr>
          <w:p w14:paraId="4AC6C867" w14:textId="77777777" w:rsidR="006950CD" w:rsidRPr="001926A5" w:rsidRDefault="00747A7F">
            <w:pPr>
              <w:keepNext/>
              <w:pBdr>
                <w:top w:val="nil"/>
                <w:left w:val="nil"/>
                <w:bottom w:val="nil"/>
                <w:right w:val="nil"/>
                <w:between w:val="nil"/>
              </w:pBdr>
              <w:spacing w:line="240" w:lineRule="auto"/>
              <w:ind w:left="0" w:hanging="2"/>
            </w:pPr>
            <w:proofErr w:type="spellStart"/>
            <w:r w:rsidRPr="001926A5">
              <w:rPr>
                <w:smallCaps/>
              </w:rPr>
              <w:t>K</w:t>
            </w:r>
            <w:r w:rsidRPr="00F44F88">
              <w:rPr>
                <w:smallCaps/>
                <w:position w:val="-6"/>
              </w:rPr>
              <w:t>eywords</w:t>
            </w:r>
            <w:proofErr w:type="spellEnd"/>
            <w:r w:rsidRPr="001926A5">
              <w:rPr>
                <w:smallCaps/>
              </w:rPr>
              <w:t>:</w:t>
            </w:r>
          </w:p>
        </w:tc>
      </w:tr>
      <w:tr w:rsidR="001926A5" w:rsidRPr="00560FEB" w14:paraId="30AB1CDE" w14:textId="77777777">
        <w:trPr>
          <w:cantSplit/>
        </w:trPr>
        <w:tc>
          <w:tcPr>
            <w:tcW w:w="2518" w:type="dxa"/>
            <w:vMerge/>
            <w:tcMar>
              <w:top w:w="0" w:type="dxa"/>
              <w:left w:w="108" w:type="dxa"/>
              <w:bottom w:w="0" w:type="dxa"/>
              <w:right w:w="108" w:type="dxa"/>
            </w:tcMar>
          </w:tcPr>
          <w:p w14:paraId="5755BDFE" w14:textId="77777777" w:rsidR="006950CD" w:rsidRPr="001926A5" w:rsidRDefault="006950CD">
            <w:pPr>
              <w:widowControl w:val="0"/>
              <w:pBdr>
                <w:top w:val="nil"/>
                <w:left w:val="nil"/>
                <w:bottom w:val="nil"/>
                <w:right w:val="nil"/>
                <w:between w:val="nil"/>
              </w:pBdr>
              <w:spacing w:line="276" w:lineRule="auto"/>
              <w:ind w:left="0" w:hanging="2"/>
              <w:jc w:val="left"/>
            </w:pPr>
          </w:p>
        </w:tc>
        <w:tc>
          <w:tcPr>
            <w:tcW w:w="284" w:type="dxa"/>
            <w:tcBorders>
              <w:left w:val="single" w:sz="4" w:space="0" w:color="000000"/>
            </w:tcBorders>
            <w:tcMar>
              <w:top w:w="0" w:type="dxa"/>
              <w:left w:w="108" w:type="dxa"/>
              <w:bottom w:w="0" w:type="dxa"/>
              <w:right w:w="108" w:type="dxa"/>
            </w:tcMar>
          </w:tcPr>
          <w:p w14:paraId="0F6697C3" w14:textId="77777777" w:rsidR="006950CD" w:rsidRPr="001926A5" w:rsidRDefault="006950CD">
            <w:pPr>
              <w:keepNext/>
              <w:pBdr>
                <w:top w:val="nil"/>
                <w:left w:val="nil"/>
                <w:bottom w:val="nil"/>
                <w:right w:val="nil"/>
                <w:between w:val="nil"/>
              </w:pBdr>
              <w:spacing w:line="240" w:lineRule="auto"/>
              <w:ind w:left="0" w:hanging="2"/>
              <w:rPr>
                <w:sz w:val="22"/>
                <w:szCs w:val="22"/>
              </w:rPr>
            </w:pPr>
          </w:p>
        </w:tc>
        <w:tc>
          <w:tcPr>
            <w:tcW w:w="6520" w:type="dxa"/>
            <w:tcMar>
              <w:top w:w="0" w:type="dxa"/>
              <w:left w:w="108" w:type="dxa"/>
              <w:bottom w:w="0" w:type="dxa"/>
              <w:right w:w="108" w:type="dxa"/>
            </w:tcMar>
          </w:tcPr>
          <w:p w14:paraId="6DD8C930" w14:textId="6ABD2360" w:rsidR="006950CD" w:rsidRPr="001926A5" w:rsidRDefault="00747A7F">
            <w:pPr>
              <w:keepNext/>
              <w:spacing w:line="240" w:lineRule="auto"/>
              <w:ind w:left="0" w:hanging="2"/>
              <w:rPr>
                <w:sz w:val="17"/>
                <w:szCs w:val="17"/>
                <w:lang w:val="en-US"/>
              </w:rPr>
            </w:pPr>
            <w:r w:rsidRPr="001926A5">
              <w:rPr>
                <w:sz w:val="17"/>
                <w:szCs w:val="17"/>
                <w:lang w:val="en-US"/>
              </w:rPr>
              <w:t xml:space="preserve">HIV; </w:t>
            </w:r>
            <w:r w:rsidR="00292DFF" w:rsidRPr="00292DFF">
              <w:rPr>
                <w:sz w:val="17"/>
                <w:szCs w:val="17"/>
                <w:lang w:val="en-US"/>
              </w:rPr>
              <w:t>Treatment adherence</w:t>
            </w:r>
            <w:r w:rsidRPr="001926A5">
              <w:rPr>
                <w:sz w:val="17"/>
                <w:szCs w:val="17"/>
                <w:lang w:val="en-US"/>
              </w:rPr>
              <w:t>; Emotional suffering; Adjustment.</w:t>
            </w:r>
          </w:p>
        </w:tc>
      </w:tr>
      <w:tr w:rsidR="001926A5" w:rsidRPr="00560FEB" w14:paraId="60C2CFDB" w14:textId="77777777">
        <w:trPr>
          <w:cantSplit/>
        </w:trPr>
        <w:tc>
          <w:tcPr>
            <w:tcW w:w="2518" w:type="dxa"/>
            <w:vMerge/>
            <w:tcMar>
              <w:top w:w="0" w:type="dxa"/>
              <w:left w:w="108" w:type="dxa"/>
              <w:bottom w:w="0" w:type="dxa"/>
              <w:right w:w="108" w:type="dxa"/>
            </w:tcMar>
          </w:tcPr>
          <w:p w14:paraId="2F7F2FD0" w14:textId="77777777" w:rsidR="006950CD" w:rsidRPr="001926A5" w:rsidRDefault="006950CD">
            <w:pPr>
              <w:widowControl w:val="0"/>
              <w:pBdr>
                <w:top w:val="nil"/>
                <w:left w:val="nil"/>
                <w:bottom w:val="nil"/>
                <w:right w:val="nil"/>
                <w:between w:val="nil"/>
              </w:pBdr>
              <w:spacing w:line="276" w:lineRule="auto"/>
              <w:ind w:left="0" w:hanging="2"/>
              <w:jc w:val="left"/>
              <w:rPr>
                <w:sz w:val="17"/>
                <w:szCs w:val="17"/>
                <w:lang w:val="en-US"/>
              </w:rPr>
            </w:pPr>
          </w:p>
        </w:tc>
        <w:tc>
          <w:tcPr>
            <w:tcW w:w="284" w:type="dxa"/>
            <w:tcBorders>
              <w:left w:val="single" w:sz="4" w:space="0" w:color="000000"/>
            </w:tcBorders>
            <w:tcMar>
              <w:top w:w="0" w:type="dxa"/>
              <w:left w:w="108" w:type="dxa"/>
              <w:bottom w:w="0" w:type="dxa"/>
              <w:right w:w="108" w:type="dxa"/>
            </w:tcMar>
          </w:tcPr>
          <w:p w14:paraId="3D5A1D1F" w14:textId="77777777" w:rsidR="006950CD" w:rsidRPr="001926A5" w:rsidRDefault="006950CD">
            <w:pPr>
              <w:keepNext/>
              <w:pBdr>
                <w:top w:val="nil"/>
                <w:left w:val="nil"/>
                <w:bottom w:val="nil"/>
                <w:right w:val="nil"/>
                <w:between w:val="nil"/>
              </w:pBdr>
              <w:spacing w:line="240" w:lineRule="auto"/>
              <w:ind w:left="0" w:hanging="2"/>
              <w:rPr>
                <w:sz w:val="22"/>
                <w:szCs w:val="22"/>
                <w:lang w:val="en-US"/>
              </w:rPr>
            </w:pPr>
          </w:p>
        </w:tc>
        <w:tc>
          <w:tcPr>
            <w:tcW w:w="6520" w:type="dxa"/>
            <w:tcMar>
              <w:top w:w="0" w:type="dxa"/>
              <w:left w:w="108" w:type="dxa"/>
              <w:bottom w:w="0" w:type="dxa"/>
              <w:right w:w="108" w:type="dxa"/>
            </w:tcMar>
          </w:tcPr>
          <w:p w14:paraId="451C10F1" w14:textId="77777777" w:rsidR="006950CD" w:rsidRPr="001926A5" w:rsidRDefault="006950CD">
            <w:pPr>
              <w:keepNext/>
              <w:pBdr>
                <w:top w:val="nil"/>
                <w:left w:val="nil"/>
                <w:bottom w:val="nil"/>
                <w:right w:val="nil"/>
                <w:between w:val="nil"/>
              </w:pBdr>
              <w:spacing w:line="240" w:lineRule="auto"/>
              <w:ind w:left="0" w:hanging="2"/>
              <w:rPr>
                <w:sz w:val="22"/>
                <w:szCs w:val="22"/>
                <w:lang w:val="en-US"/>
              </w:rPr>
            </w:pPr>
          </w:p>
        </w:tc>
      </w:tr>
      <w:tr w:rsidR="001926A5" w:rsidRPr="001926A5" w14:paraId="69116409" w14:textId="77777777">
        <w:trPr>
          <w:cantSplit/>
        </w:trPr>
        <w:tc>
          <w:tcPr>
            <w:tcW w:w="2518" w:type="dxa"/>
            <w:vMerge/>
            <w:tcMar>
              <w:top w:w="0" w:type="dxa"/>
              <w:left w:w="108" w:type="dxa"/>
              <w:bottom w:w="0" w:type="dxa"/>
              <w:right w:w="108" w:type="dxa"/>
            </w:tcMar>
          </w:tcPr>
          <w:p w14:paraId="2CACEA63" w14:textId="77777777" w:rsidR="006950CD" w:rsidRPr="001926A5" w:rsidRDefault="006950CD">
            <w:pPr>
              <w:widowControl w:val="0"/>
              <w:pBdr>
                <w:top w:val="nil"/>
                <w:left w:val="nil"/>
                <w:bottom w:val="nil"/>
                <w:right w:val="nil"/>
                <w:between w:val="nil"/>
              </w:pBdr>
              <w:spacing w:line="276" w:lineRule="auto"/>
              <w:ind w:left="0" w:hanging="2"/>
              <w:jc w:val="left"/>
              <w:rPr>
                <w:sz w:val="22"/>
                <w:szCs w:val="22"/>
                <w:lang w:val="en-US"/>
              </w:rPr>
            </w:pPr>
          </w:p>
        </w:tc>
        <w:tc>
          <w:tcPr>
            <w:tcW w:w="284" w:type="dxa"/>
            <w:tcBorders>
              <w:left w:val="single" w:sz="4" w:space="0" w:color="000000"/>
            </w:tcBorders>
            <w:tcMar>
              <w:top w:w="0" w:type="dxa"/>
              <w:left w:w="108" w:type="dxa"/>
              <w:bottom w:w="0" w:type="dxa"/>
              <w:right w:w="108" w:type="dxa"/>
            </w:tcMar>
          </w:tcPr>
          <w:p w14:paraId="00A8AC0A" w14:textId="77777777" w:rsidR="006950CD" w:rsidRPr="001926A5" w:rsidRDefault="006950CD">
            <w:pPr>
              <w:keepNext/>
              <w:pBdr>
                <w:top w:val="nil"/>
                <w:left w:val="nil"/>
                <w:bottom w:val="nil"/>
                <w:right w:val="nil"/>
                <w:between w:val="nil"/>
              </w:pBdr>
              <w:spacing w:line="240" w:lineRule="auto"/>
              <w:ind w:left="0" w:hanging="2"/>
              <w:rPr>
                <w:rFonts w:ascii="Calibri" w:eastAsia="Calibri" w:hAnsi="Calibri" w:cs="Calibri"/>
                <w:lang w:val="en-US"/>
              </w:rPr>
            </w:pPr>
          </w:p>
        </w:tc>
        <w:tc>
          <w:tcPr>
            <w:tcW w:w="6520" w:type="dxa"/>
            <w:tcMar>
              <w:top w:w="0" w:type="dxa"/>
              <w:left w:w="108" w:type="dxa"/>
              <w:bottom w:w="0" w:type="dxa"/>
              <w:right w:w="108" w:type="dxa"/>
            </w:tcMar>
          </w:tcPr>
          <w:p w14:paraId="61DCA777" w14:textId="77777777" w:rsidR="006950CD" w:rsidRPr="001926A5" w:rsidRDefault="00747A7F">
            <w:pPr>
              <w:keepNext/>
              <w:pBdr>
                <w:top w:val="nil"/>
                <w:left w:val="nil"/>
                <w:bottom w:val="nil"/>
                <w:right w:val="nil"/>
                <w:between w:val="nil"/>
              </w:pBdr>
              <w:spacing w:line="240" w:lineRule="auto"/>
              <w:ind w:left="0" w:hanging="2"/>
            </w:pPr>
            <w:proofErr w:type="spellStart"/>
            <w:r w:rsidRPr="001926A5">
              <w:rPr>
                <w:smallCaps/>
              </w:rPr>
              <w:t>R</w:t>
            </w:r>
            <w:r w:rsidRPr="00F44F88">
              <w:rPr>
                <w:smallCaps/>
                <w:position w:val="-6"/>
              </w:rPr>
              <w:t>esumen</w:t>
            </w:r>
            <w:proofErr w:type="spellEnd"/>
          </w:p>
        </w:tc>
      </w:tr>
      <w:tr w:rsidR="001926A5" w:rsidRPr="00F25210" w14:paraId="4827E87E" w14:textId="77777777">
        <w:trPr>
          <w:cantSplit/>
        </w:trPr>
        <w:tc>
          <w:tcPr>
            <w:tcW w:w="2518" w:type="dxa"/>
            <w:vMerge/>
            <w:tcMar>
              <w:top w:w="0" w:type="dxa"/>
              <w:left w:w="108" w:type="dxa"/>
              <w:bottom w:w="0" w:type="dxa"/>
              <w:right w:w="108" w:type="dxa"/>
            </w:tcMar>
          </w:tcPr>
          <w:p w14:paraId="5B379079" w14:textId="77777777" w:rsidR="006950CD" w:rsidRPr="001926A5" w:rsidRDefault="006950CD">
            <w:pPr>
              <w:widowControl w:val="0"/>
              <w:pBdr>
                <w:top w:val="nil"/>
                <w:left w:val="nil"/>
                <w:bottom w:val="nil"/>
                <w:right w:val="nil"/>
                <w:between w:val="nil"/>
              </w:pBdr>
              <w:spacing w:line="276" w:lineRule="auto"/>
              <w:ind w:left="0" w:hanging="2"/>
              <w:jc w:val="left"/>
            </w:pPr>
          </w:p>
        </w:tc>
        <w:tc>
          <w:tcPr>
            <w:tcW w:w="284" w:type="dxa"/>
            <w:tcBorders>
              <w:left w:val="single" w:sz="4" w:space="0" w:color="000000"/>
            </w:tcBorders>
            <w:tcMar>
              <w:top w:w="0" w:type="dxa"/>
              <w:left w:w="108" w:type="dxa"/>
              <w:bottom w:w="0" w:type="dxa"/>
              <w:right w:w="108" w:type="dxa"/>
            </w:tcMar>
          </w:tcPr>
          <w:p w14:paraId="7DAE5EAD" w14:textId="77777777" w:rsidR="006950CD" w:rsidRPr="001926A5" w:rsidRDefault="006950CD">
            <w:pPr>
              <w:keepNext/>
              <w:pBdr>
                <w:top w:val="nil"/>
                <w:left w:val="nil"/>
                <w:bottom w:val="nil"/>
                <w:right w:val="nil"/>
                <w:between w:val="nil"/>
              </w:pBdr>
              <w:spacing w:line="240" w:lineRule="auto"/>
              <w:ind w:left="0" w:hanging="2"/>
              <w:rPr>
                <w:sz w:val="22"/>
                <w:szCs w:val="22"/>
              </w:rPr>
            </w:pPr>
          </w:p>
        </w:tc>
        <w:tc>
          <w:tcPr>
            <w:tcW w:w="6520" w:type="dxa"/>
            <w:tcMar>
              <w:top w:w="0" w:type="dxa"/>
              <w:left w:w="108" w:type="dxa"/>
              <w:bottom w:w="0" w:type="dxa"/>
              <w:right w:w="108" w:type="dxa"/>
            </w:tcMar>
          </w:tcPr>
          <w:p w14:paraId="25730231" w14:textId="256E9C6C" w:rsidR="006950CD" w:rsidRPr="001926A5" w:rsidRDefault="00747A7F" w:rsidP="00F26222">
            <w:pPr>
              <w:keepNext/>
              <w:spacing w:line="240" w:lineRule="auto"/>
              <w:ind w:left="0" w:hanging="2"/>
              <w:rPr>
                <w:sz w:val="17"/>
                <w:szCs w:val="17"/>
                <w:lang w:val="es-ES_tradnl"/>
              </w:rPr>
            </w:pPr>
            <w:r w:rsidRPr="001926A5">
              <w:rPr>
                <w:sz w:val="17"/>
                <w:szCs w:val="17"/>
                <w:lang w:val="es-ES_tradnl"/>
              </w:rPr>
              <w:t xml:space="preserve">Este artículo investigó predictores de </w:t>
            </w:r>
            <w:r w:rsidR="00292DFF">
              <w:rPr>
                <w:sz w:val="17"/>
                <w:szCs w:val="17"/>
                <w:lang w:val="es-ES_tradnl"/>
              </w:rPr>
              <w:t xml:space="preserve">la </w:t>
            </w:r>
            <w:r w:rsidRPr="001926A5">
              <w:rPr>
                <w:sz w:val="17"/>
                <w:szCs w:val="17"/>
                <w:lang w:val="es-ES_tradnl"/>
              </w:rPr>
              <w:t xml:space="preserve">adhesión al tratamiento entre variables sociodemográficas, médico-clínicas, riesgo psicológico de no ajuste a la seropositividad y </w:t>
            </w:r>
            <w:r w:rsidR="00292DFF" w:rsidRPr="00292DFF">
              <w:rPr>
                <w:sz w:val="17"/>
                <w:szCs w:val="17"/>
                <w:lang w:val="es-ES_tradnl"/>
              </w:rPr>
              <w:t>distrés</w:t>
            </w:r>
            <w:r w:rsidR="00292DFF">
              <w:rPr>
                <w:sz w:val="17"/>
                <w:szCs w:val="17"/>
                <w:lang w:val="es-ES_tradnl"/>
              </w:rPr>
              <w:t xml:space="preserve"> </w:t>
            </w:r>
            <w:r w:rsidRPr="001926A5">
              <w:rPr>
                <w:sz w:val="17"/>
                <w:szCs w:val="17"/>
                <w:lang w:val="es-ES_tradnl"/>
              </w:rPr>
              <w:t xml:space="preserve">en personas con VIH (PVVIH). Participaron 130 </w:t>
            </w:r>
            <w:r w:rsidR="00D56DA2" w:rsidRPr="00D56DA2">
              <w:rPr>
                <w:sz w:val="17"/>
                <w:szCs w:val="17"/>
                <w:lang w:val="es-ES_tradnl"/>
              </w:rPr>
              <w:t>PVVIH</w:t>
            </w:r>
            <w:r w:rsidRPr="001926A5">
              <w:rPr>
                <w:sz w:val="17"/>
                <w:szCs w:val="17"/>
                <w:lang w:val="es-ES_tradnl"/>
              </w:rPr>
              <w:t>, 63,8</w:t>
            </w:r>
            <w:r w:rsidR="00F26222">
              <w:rPr>
                <w:sz w:val="17"/>
                <w:szCs w:val="17"/>
                <w:lang w:val="es-ES_tradnl"/>
              </w:rPr>
              <w:t>0</w:t>
            </w:r>
            <w:r w:rsidRPr="001926A5">
              <w:rPr>
                <w:sz w:val="17"/>
                <w:szCs w:val="17"/>
                <w:lang w:val="es-ES_tradnl"/>
              </w:rPr>
              <w:t xml:space="preserve">% hombres, </w:t>
            </w:r>
            <w:r w:rsidR="00F26222">
              <w:rPr>
                <w:sz w:val="17"/>
                <w:szCs w:val="17"/>
                <w:lang w:val="es-ES_tradnl"/>
              </w:rPr>
              <w:t>media de edad</w:t>
            </w:r>
            <w:r w:rsidRPr="001926A5">
              <w:rPr>
                <w:sz w:val="17"/>
                <w:szCs w:val="17"/>
                <w:lang w:val="es-ES_tradnl"/>
              </w:rPr>
              <w:t xml:space="preserve"> 37,6 años. </w:t>
            </w:r>
            <w:r w:rsidR="00F26222">
              <w:rPr>
                <w:sz w:val="17"/>
                <w:szCs w:val="17"/>
                <w:lang w:val="es-ES_tradnl"/>
              </w:rPr>
              <w:t>El a</w:t>
            </w:r>
            <w:r w:rsidRPr="001926A5">
              <w:rPr>
                <w:sz w:val="17"/>
                <w:szCs w:val="17"/>
                <w:lang w:val="es-ES_tradnl"/>
              </w:rPr>
              <w:t>nálisis de regresión múltiple</w:t>
            </w:r>
            <w:r w:rsidR="00F26222">
              <w:rPr>
                <w:sz w:val="17"/>
                <w:szCs w:val="17"/>
                <w:lang w:val="es-ES_tradnl"/>
              </w:rPr>
              <w:t xml:space="preserve"> reveló</w:t>
            </w:r>
            <w:r w:rsidRPr="001926A5">
              <w:rPr>
                <w:sz w:val="17"/>
                <w:szCs w:val="17"/>
                <w:lang w:val="es-ES_tradnl"/>
              </w:rPr>
              <w:t xml:space="preserve"> que la variable adhesión tuvo tres predictores significativos:</w:t>
            </w:r>
            <w:r w:rsidR="00D56DA2">
              <w:rPr>
                <w:sz w:val="17"/>
                <w:szCs w:val="17"/>
                <w:lang w:val="es-ES_tradnl"/>
              </w:rPr>
              <w:t xml:space="preserve"> </w:t>
            </w:r>
            <w:r w:rsidR="00F1708E">
              <w:rPr>
                <w:sz w:val="17"/>
                <w:szCs w:val="17"/>
                <w:lang w:val="es-ES_tradnl"/>
              </w:rPr>
              <w:t>(a</w:t>
            </w:r>
            <w:r w:rsidR="00D56DA2">
              <w:rPr>
                <w:sz w:val="17"/>
                <w:szCs w:val="17"/>
                <w:lang w:val="es-ES_tradnl"/>
              </w:rPr>
              <w:t>)</w:t>
            </w:r>
            <w:r w:rsidRPr="001926A5">
              <w:rPr>
                <w:sz w:val="17"/>
                <w:szCs w:val="17"/>
                <w:lang w:val="es-ES_tradnl"/>
              </w:rPr>
              <w:t xml:space="preserve"> ausencia de antecedentes de interrupción del tratamiento por cuenta propia</w:t>
            </w:r>
            <w:r w:rsidR="00D56DA2">
              <w:rPr>
                <w:sz w:val="17"/>
                <w:szCs w:val="17"/>
                <w:lang w:val="es-ES_tradnl"/>
              </w:rPr>
              <w:t xml:space="preserve">; </w:t>
            </w:r>
            <w:r w:rsidR="00F1708E">
              <w:rPr>
                <w:sz w:val="17"/>
                <w:szCs w:val="17"/>
                <w:lang w:val="es-ES_tradnl"/>
              </w:rPr>
              <w:t>(b</w:t>
            </w:r>
            <w:r w:rsidR="00D56DA2">
              <w:rPr>
                <w:sz w:val="17"/>
                <w:szCs w:val="17"/>
                <w:lang w:val="es-ES_tradnl"/>
              </w:rPr>
              <w:t>)</w:t>
            </w:r>
            <w:r w:rsidRPr="001926A5">
              <w:rPr>
                <w:sz w:val="17"/>
                <w:szCs w:val="17"/>
                <w:lang w:val="es-ES_tradnl"/>
              </w:rPr>
              <w:t xml:space="preserve"> </w:t>
            </w:r>
            <w:r w:rsidR="00D56DA2">
              <w:rPr>
                <w:sz w:val="17"/>
                <w:szCs w:val="17"/>
                <w:lang w:val="es-ES_tradnl"/>
              </w:rPr>
              <w:t>mayor</w:t>
            </w:r>
            <w:r w:rsidR="00D56DA2" w:rsidRPr="001926A5">
              <w:rPr>
                <w:sz w:val="17"/>
                <w:szCs w:val="17"/>
                <w:lang w:val="es-ES_tradnl"/>
              </w:rPr>
              <w:t xml:space="preserve"> </w:t>
            </w:r>
            <w:r w:rsidRPr="001926A5">
              <w:rPr>
                <w:sz w:val="17"/>
                <w:szCs w:val="17"/>
                <w:lang w:val="es-ES_tradnl"/>
              </w:rPr>
              <w:t xml:space="preserve">edad y </w:t>
            </w:r>
            <w:r w:rsidR="00F1708E">
              <w:rPr>
                <w:sz w:val="17"/>
                <w:szCs w:val="17"/>
                <w:lang w:val="es-ES_tradnl"/>
              </w:rPr>
              <w:t>(c</w:t>
            </w:r>
            <w:r w:rsidR="00D56DA2">
              <w:rPr>
                <w:sz w:val="17"/>
                <w:szCs w:val="17"/>
                <w:lang w:val="es-ES_tradnl"/>
              </w:rPr>
              <w:t xml:space="preserve">) </w:t>
            </w:r>
            <w:r w:rsidRPr="001926A5">
              <w:rPr>
                <w:sz w:val="17"/>
                <w:szCs w:val="17"/>
                <w:lang w:val="es-ES_tradnl"/>
              </w:rPr>
              <w:t xml:space="preserve">puntuaciones que indican ausencia/bajo índice de riesgo psicológico de no ajuste. El estudio destaca la necesidad de una atención integral y de </w:t>
            </w:r>
            <w:r w:rsidR="00225433" w:rsidRPr="001926A5">
              <w:rPr>
                <w:sz w:val="17"/>
                <w:szCs w:val="17"/>
                <w:lang w:val="es-ES_tradnl"/>
              </w:rPr>
              <w:t>calidad, orientada</w:t>
            </w:r>
            <w:r w:rsidR="00D56DA2" w:rsidRPr="00D56DA2">
              <w:rPr>
                <w:sz w:val="17"/>
                <w:szCs w:val="17"/>
                <w:lang w:val="es-ES_tradnl"/>
              </w:rPr>
              <w:t xml:space="preserve"> a mejores niveles</w:t>
            </w:r>
            <w:r w:rsidRPr="001926A5">
              <w:rPr>
                <w:sz w:val="17"/>
                <w:szCs w:val="17"/>
                <w:lang w:val="es-ES_tradnl"/>
              </w:rPr>
              <w:t xml:space="preserve"> de adherencia al VIH/SIDA.</w:t>
            </w:r>
          </w:p>
        </w:tc>
      </w:tr>
      <w:tr w:rsidR="001926A5" w:rsidRPr="00F25210" w14:paraId="11FAC4C7" w14:textId="77777777">
        <w:tc>
          <w:tcPr>
            <w:tcW w:w="2518" w:type="dxa"/>
            <w:tcMar>
              <w:top w:w="0" w:type="dxa"/>
              <w:left w:w="108" w:type="dxa"/>
              <w:bottom w:w="0" w:type="dxa"/>
              <w:right w:w="108" w:type="dxa"/>
            </w:tcMar>
          </w:tcPr>
          <w:p w14:paraId="3E0F09AF" w14:textId="77777777" w:rsidR="006950CD" w:rsidRPr="001926A5" w:rsidRDefault="006950CD">
            <w:pPr>
              <w:keepNext/>
              <w:pBdr>
                <w:top w:val="nil"/>
                <w:left w:val="nil"/>
                <w:bottom w:val="nil"/>
                <w:right w:val="nil"/>
                <w:between w:val="nil"/>
              </w:pBdr>
              <w:spacing w:line="240" w:lineRule="auto"/>
              <w:ind w:left="0" w:hanging="2"/>
              <w:rPr>
                <w:sz w:val="22"/>
                <w:szCs w:val="22"/>
                <w:lang w:val="es-ES_tradnl"/>
              </w:rPr>
            </w:pPr>
          </w:p>
        </w:tc>
        <w:tc>
          <w:tcPr>
            <w:tcW w:w="284" w:type="dxa"/>
            <w:tcBorders>
              <w:left w:val="single" w:sz="4" w:space="0" w:color="000000"/>
            </w:tcBorders>
            <w:tcMar>
              <w:top w:w="0" w:type="dxa"/>
              <w:left w:w="108" w:type="dxa"/>
              <w:bottom w:w="0" w:type="dxa"/>
              <w:right w:w="108" w:type="dxa"/>
            </w:tcMar>
          </w:tcPr>
          <w:p w14:paraId="61F3453B" w14:textId="77777777" w:rsidR="006950CD" w:rsidRPr="001926A5" w:rsidRDefault="006950CD">
            <w:pPr>
              <w:keepNext/>
              <w:pBdr>
                <w:top w:val="nil"/>
                <w:left w:val="nil"/>
                <w:bottom w:val="nil"/>
                <w:right w:val="nil"/>
                <w:between w:val="nil"/>
              </w:pBdr>
              <w:spacing w:line="240" w:lineRule="auto"/>
              <w:ind w:left="0" w:hanging="2"/>
              <w:rPr>
                <w:lang w:val="es-ES_tradnl"/>
              </w:rPr>
            </w:pPr>
          </w:p>
        </w:tc>
        <w:tc>
          <w:tcPr>
            <w:tcW w:w="6520" w:type="dxa"/>
            <w:tcMar>
              <w:top w:w="0" w:type="dxa"/>
              <w:left w:w="108" w:type="dxa"/>
              <w:bottom w:w="0" w:type="dxa"/>
              <w:right w:w="108" w:type="dxa"/>
            </w:tcMar>
          </w:tcPr>
          <w:p w14:paraId="4CB3CD49" w14:textId="08151DE0" w:rsidR="006950CD" w:rsidRPr="001926A5" w:rsidRDefault="00747A7F">
            <w:pPr>
              <w:keepNext/>
              <w:pBdr>
                <w:top w:val="nil"/>
                <w:left w:val="nil"/>
                <w:bottom w:val="nil"/>
                <w:right w:val="nil"/>
                <w:between w:val="nil"/>
              </w:pBdr>
              <w:spacing w:line="240" w:lineRule="auto"/>
              <w:ind w:left="0" w:hanging="2"/>
              <w:rPr>
                <w:lang w:val="es-ES_tradnl"/>
              </w:rPr>
            </w:pPr>
            <w:r w:rsidRPr="001926A5">
              <w:rPr>
                <w:smallCaps/>
                <w:lang w:val="es-ES_tradnl"/>
              </w:rPr>
              <w:t>P</w:t>
            </w:r>
            <w:proofErr w:type="spellStart"/>
            <w:r w:rsidR="00F44F88">
              <w:rPr>
                <w:smallCaps/>
                <w:position w:val="-6"/>
                <w:lang w:val="es-ES_tradnl"/>
              </w:rPr>
              <w:t>alabras</w:t>
            </w:r>
            <w:proofErr w:type="spellEnd"/>
            <w:r w:rsidR="00F44F88" w:rsidRPr="00F44F88">
              <w:rPr>
                <w:position w:val="0"/>
                <w:lang w:val="es-ES_tradnl"/>
              </w:rPr>
              <w:t>-</w:t>
            </w:r>
            <w:r w:rsidRPr="00F44F88">
              <w:rPr>
                <w:smallCaps/>
                <w:position w:val="-6"/>
                <w:lang w:val="es-ES_tradnl"/>
              </w:rPr>
              <w:t>clave</w:t>
            </w:r>
            <w:r w:rsidRPr="001926A5">
              <w:rPr>
                <w:smallCaps/>
                <w:lang w:val="es-ES_tradnl"/>
              </w:rPr>
              <w:t>:</w:t>
            </w:r>
          </w:p>
          <w:p w14:paraId="28D75618" w14:textId="125AB95D" w:rsidR="006950CD" w:rsidRPr="00397064" w:rsidRDefault="00D56DA2">
            <w:pPr>
              <w:keepNext/>
              <w:pBdr>
                <w:top w:val="nil"/>
                <w:left w:val="nil"/>
                <w:bottom w:val="nil"/>
                <w:right w:val="nil"/>
                <w:between w:val="nil"/>
              </w:pBdr>
              <w:spacing w:line="240" w:lineRule="auto"/>
              <w:ind w:left="0" w:hanging="2"/>
              <w:rPr>
                <w:sz w:val="17"/>
                <w:szCs w:val="17"/>
                <w:lang w:val="es-ES_tradnl"/>
              </w:rPr>
            </w:pPr>
            <w:r w:rsidRPr="00397064">
              <w:rPr>
                <w:smallCaps/>
                <w:sz w:val="17"/>
                <w:szCs w:val="17"/>
                <w:lang w:val="es-ES_tradnl"/>
              </w:rPr>
              <w:t>VIH</w:t>
            </w:r>
            <w:r w:rsidR="00747A7F" w:rsidRPr="00397064">
              <w:rPr>
                <w:sz w:val="17"/>
                <w:szCs w:val="17"/>
                <w:lang w:val="es-ES_tradnl"/>
              </w:rPr>
              <w:t xml:space="preserve">; Adhesión al </w:t>
            </w:r>
            <w:r w:rsidRPr="00397064">
              <w:rPr>
                <w:sz w:val="17"/>
                <w:szCs w:val="17"/>
                <w:lang w:val="es-ES_tradnl"/>
              </w:rPr>
              <w:t>t</w:t>
            </w:r>
            <w:r w:rsidR="00747A7F" w:rsidRPr="00397064">
              <w:rPr>
                <w:sz w:val="17"/>
                <w:szCs w:val="17"/>
                <w:lang w:val="es-ES_tradnl"/>
              </w:rPr>
              <w:t xml:space="preserve">ratamiento; Sufrimiento </w:t>
            </w:r>
            <w:r w:rsidRPr="00397064">
              <w:rPr>
                <w:sz w:val="17"/>
                <w:szCs w:val="17"/>
                <w:lang w:val="es-ES_tradnl"/>
              </w:rPr>
              <w:t>e</w:t>
            </w:r>
            <w:r w:rsidR="00747A7F" w:rsidRPr="00397064">
              <w:rPr>
                <w:sz w:val="17"/>
                <w:szCs w:val="17"/>
                <w:lang w:val="es-ES_tradnl"/>
              </w:rPr>
              <w:t>mocional; Ajuste</w:t>
            </w:r>
            <w:r w:rsidR="00747A7F" w:rsidRPr="00397064">
              <w:rPr>
                <w:smallCaps/>
                <w:sz w:val="17"/>
                <w:szCs w:val="17"/>
                <w:lang w:val="es-ES_tradnl"/>
              </w:rPr>
              <w:t>.</w:t>
            </w:r>
          </w:p>
          <w:p w14:paraId="680E91C3" w14:textId="77777777" w:rsidR="006950CD" w:rsidRPr="001926A5" w:rsidRDefault="006950CD">
            <w:pPr>
              <w:keepNext/>
              <w:pBdr>
                <w:top w:val="nil"/>
                <w:left w:val="nil"/>
                <w:bottom w:val="nil"/>
                <w:right w:val="nil"/>
                <w:between w:val="nil"/>
              </w:pBdr>
              <w:spacing w:line="240" w:lineRule="auto"/>
              <w:ind w:left="0" w:hanging="2"/>
              <w:rPr>
                <w:lang w:val="es-ES_tradnl"/>
              </w:rPr>
            </w:pPr>
          </w:p>
        </w:tc>
      </w:tr>
    </w:tbl>
    <w:p w14:paraId="5C5BBF16" w14:textId="77777777" w:rsidR="006950CD" w:rsidRPr="00C92C20" w:rsidRDefault="006950CD">
      <w:pPr>
        <w:ind w:left="0" w:hanging="2"/>
        <w:jc w:val="center"/>
      </w:pPr>
    </w:p>
    <w:p w14:paraId="46BEA30E" w14:textId="459389D9" w:rsidR="006950CD" w:rsidRPr="001926A5" w:rsidRDefault="00747A7F" w:rsidP="00B62D94">
      <w:pPr>
        <w:shd w:val="clear" w:color="auto" w:fill="FFFFFF"/>
        <w:ind w:leftChars="0" w:left="0" w:firstLineChars="0" w:firstLine="720"/>
      </w:pPr>
      <w:r w:rsidRPr="00292F04">
        <w:t xml:space="preserve">No Brasil, desde 1996 o acesso à terapia antirretroviral de forma universal e gratuita </w:t>
      </w:r>
      <w:r w:rsidR="00B62D94" w:rsidRPr="00292F04">
        <w:t xml:space="preserve">foi garantido </w:t>
      </w:r>
      <w:r w:rsidRPr="00292F04">
        <w:t>a todas as pessoas vivendo com HIV (PVHIV)</w:t>
      </w:r>
      <w:r w:rsidR="00B62D94" w:rsidRPr="00292F04">
        <w:t>. C</w:t>
      </w:r>
      <w:r w:rsidRPr="00292F04">
        <w:t>onsequentemente, a soropositividade assumiu características de doença crônica, com melhora do prognóstico e ganhos na qualidade de vida dos usuários (</w:t>
      </w:r>
      <w:r w:rsidR="009D1AE0" w:rsidRPr="009D1AE0">
        <w:t>Ministério da Saúde</w:t>
      </w:r>
      <w:r w:rsidRPr="00292F04">
        <w:t>, 2020). Apesar dos benefícios decorrentes do acesso ao tratamento antirretroviral (TARV), não há garantia de sua eficácia</w:t>
      </w:r>
      <w:r w:rsidR="00B62D94" w:rsidRPr="00292F04">
        <w:t xml:space="preserve"> plena</w:t>
      </w:r>
      <w:r w:rsidRPr="00292F04">
        <w:t xml:space="preserve">, </w:t>
      </w:r>
      <w:r w:rsidR="00B62D94" w:rsidRPr="00292F04">
        <w:t>uma vez que esta</w:t>
      </w:r>
      <w:r w:rsidRPr="00292F04">
        <w:t xml:space="preserve"> </w:t>
      </w:r>
      <w:r w:rsidR="00B62D94" w:rsidRPr="00292F04">
        <w:t xml:space="preserve">condição depende </w:t>
      </w:r>
      <w:r w:rsidRPr="00292F04">
        <w:t xml:space="preserve">da adesão ao tratamento. Por </w:t>
      </w:r>
      <w:r w:rsidRPr="001926A5">
        <w:t xml:space="preserve">isso, o fator adesão tornou-se prioritário nas políticas públicas de saúde em HIV/aids, visto que a adesão </w:t>
      </w:r>
      <w:r w:rsidRPr="001926A5">
        <w:lastRenderedPageBreak/>
        <w:t>insuficiente pode favorecer a falha terapêutica, o aparecimento de cepas virais resistentes aos medicamentos atualmente utilizados, presença de sintomas ou infecções oportunistas, além de prejuízos psicossociais e perdas econômicas significativas (Castro &amp; Remor, 2018).</w:t>
      </w:r>
    </w:p>
    <w:p w14:paraId="1A8237CA" w14:textId="12169DC5" w:rsidR="006950CD" w:rsidRPr="001926A5" w:rsidRDefault="00747A7F" w:rsidP="00A455BF">
      <w:pPr>
        <w:shd w:val="clear" w:color="auto" w:fill="FFFFFF"/>
        <w:ind w:leftChars="0" w:left="0" w:firstLineChars="0" w:firstLine="720"/>
      </w:pPr>
      <w:r w:rsidRPr="001926A5">
        <w:t>É importante destacar que para que haja eficácia do tratamento é necessário que o uso do esquema terapêutico seja igual ou superior a 80,1% das doses prescritas, o que propicia a supressão viral e sua manutenção (</w:t>
      </w:r>
      <w:r w:rsidR="009D1AE0" w:rsidRPr="009D1AE0">
        <w:t>Ministério da Saúde</w:t>
      </w:r>
      <w:r w:rsidRPr="001926A5">
        <w:t>, 2018). Ademais, há evidências científicas de que PVHIV, com uso apropriado da TARV e supressão contínua da carga viral, apresenta risco zero de transmissão do vírus HIV por via sexual (</w:t>
      </w:r>
      <w:r w:rsidR="009D1AE0" w:rsidRPr="009D1AE0">
        <w:t>Ministério da Saúde</w:t>
      </w:r>
      <w:r w:rsidRPr="001926A5">
        <w:t xml:space="preserve">, 2019). Essa constatação embasa o protocolo </w:t>
      </w:r>
      <w:r w:rsidR="00B62D94">
        <w:t>“</w:t>
      </w:r>
      <w:r w:rsidRPr="001926A5">
        <w:t>Tratamento como Prevenção</w:t>
      </w:r>
      <w:r w:rsidR="00B62D94">
        <w:t>”</w:t>
      </w:r>
      <w:r w:rsidRPr="001926A5">
        <w:t xml:space="preserve"> (</w:t>
      </w:r>
      <w:proofErr w:type="spellStart"/>
      <w:r w:rsidRPr="001926A5">
        <w:t>TasP</w:t>
      </w:r>
      <w:proofErr w:type="spellEnd"/>
      <w:r w:rsidRPr="001926A5">
        <w:t>), em vigor desde 2013, que indica o início da TARV logo que o diagnóstico s</w:t>
      </w:r>
      <w:r w:rsidR="00533351">
        <w:t>ej</w:t>
      </w:r>
      <w:r w:rsidRPr="001926A5">
        <w:t>a confirmado, independente da contagem de linfócitos T CD4+ e da carga viral plasmática (</w:t>
      </w:r>
      <w:r w:rsidR="009D1AE0" w:rsidRPr="009D1AE0">
        <w:t>Ministério da Saúde</w:t>
      </w:r>
      <w:r w:rsidR="001F68F3">
        <w:t xml:space="preserve">, 2018). </w:t>
      </w:r>
      <w:r w:rsidRPr="001926A5">
        <w:t xml:space="preserve">Além do mais, o </w:t>
      </w:r>
      <w:proofErr w:type="spellStart"/>
      <w:r w:rsidRPr="001926A5">
        <w:t>TasP</w:t>
      </w:r>
      <w:proofErr w:type="spellEnd"/>
      <w:r w:rsidRPr="001926A5">
        <w:t xml:space="preserve"> é considerado uma das medidas mais relevantes para o controle da transmissão do HIV em uma comunidade (Hull et al., 2014). </w:t>
      </w:r>
    </w:p>
    <w:p w14:paraId="10A302D9" w14:textId="45CD79F2" w:rsidR="006950CD" w:rsidRPr="001926A5" w:rsidRDefault="00747A7F" w:rsidP="00A455BF">
      <w:pPr>
        <w:ind w:leftChars="0" w:left="0" w:firstLineChars="0" w:firstLine="720"/>
      </w:pPr>
      <w:r w:rsidRPr="001926A5">
        <w:t xml:space="preserve">Em um trabalho de revisão sistemática e metanálise, com base em pesquisas realizadas em 25 países da América Latina e do Caribe, fatores associados à adesão ao tratamento foram descritos (Costa et al., 2018). Os resultados revelaram que 70% </w:t>
      </w:r>
      <w:r w:rsidRPr="00292F04">
        <w:t xml:space="preserve">das PVHIV tinham bons níveis de adesão. Variáveis que se constituíram em barreiras à adesão foram: </w:t>
      </w:r>
      <w:r w:rsidR="002944B9" w:rsidRPr="00292F04">
        <w:t>(a</w:t>
      </w:r>
      <w:r w:rsidR="00533351" w:rsidRPr="00292F04">
        <w:t xml:space="preserve">) </w:t>
      </w:r>
      <w:r w:rsidRPr="00292F04">
        <w:t xml:space="preserve">depressão, </w:t>
      </w:r>
      <w:r w:rsidR="002944B9" w:rsidRPr="00292F04">
        <w:t>(b</w:t>
      </w:r>
      <w:r w:rsidR="00533351" w:rsidRPr="00292F04">
        <w:t xml:space="preserve">) </w:t>
      </w:r>
      <w:r w:rsidRPr="00292F04">
        <w:t xml:space="preserve">desemprego ou emprego irregular, </w:t>
      </w:r>
      <w:r w:rsidR="002944B9" w:rsidRPr="00292F04">
        <w:t>(c</w:t>
      </w:r>
      <w:r w:rsidR="00533351" w:rsidRPr="00292F04">
        <w:t xml:space="preserve">) </w:t>
      </w:r>
      <w:r w:rsidRPr="00292F04">
        <w:t xml:space="preserve">abuso de álcool e outras drogas e </w:t>
      </w:r>
      <w:r w:rsidR="002944B9" w:rsidRPr="00292F04">
        <w:t>(d</w:t>
      </w:r>
      <w:r w:rsidR="00533351" w:rsidRPr="00292F04">
        <w:t xml:space="preserve">) </w:t>
      </w:r>
      <w:r w:rsidRPr="00292F04">
        <w:t>quantidade de comprimidos do esquema terapêutico. Bons níveis de adesão foram associados à satisfação com a relação médico-paciente e com o serviço de saúde e presença de apoio social.</w:t>
      </w:r>
      <w:r w:rsidR="001F68F3">
        <w:t xml:space="preserve"> </w:t>
      </w:r>
    </w:p>
    <w:p w14:paraId="58B0F6BA" w14:textId="41F7AEF8" w:rsidR="006950CD" w:rsidRDefault="00747A7F" w:rsidP="00A455BF">
      <w:pPr>
        <w:ind w:leftChars="0" w:left="0" w:firstLineChars="0" w:firstLine="720"/>
      </w:pPr>
      <w:r w:rsidRPr="001926A5">
        <w:t xml:space="preserve">Tais dados vão ao encontro dos achados de Carvalho et al. (2019), que utilizaram da estratégia PICO para identificar na literatura fatores associados à adesão à TARV, localizando 125 artigos nacionais e internacionais. De forma didática, os resultados foram agrupados em cinco grandes categorias: </w:t>
      </w:r>
      <w:r w:rsidR="002944B9" w:rsidRPr="00292F04">
        <w:t>(a</w:t>
      </w:r>
      <w:r w:rsidR="00533351" w:rsidRPr="00292F04">
        <w:t xml:space="preserve">) </w:t>
      </w:r>
      <w:r w:rsidRPr="00292F04">
        <w:t xml:space="preserve">variáveis individuais, </w:t>
      </w:r>
      <w:r w:rsidR="002944B9" w:rsidRPr="00292F04">
        <w:t>(b</w:t>
      </w:r>
      <w:r w:rsidR="00533351" w:rsidRPr="00292F04">
        <w:t xml:space="preserve">) </w:t>
      </w:r>
      <w:r w:rsidRPr="00292F04">
        <w:t xml:space="preserve">características do tratamento, </w:t>
      </w:r>
      <w:r w:rsidR="002944B9" w:rsidRPr="00292F04">
        <w:t>(c</w:t>
      </w:r>
      <w:r w:rsidR="00533351" w:rsidRPr="00292F04">
        <w:t xml:space="preserve">) </w:t>
      </w:r>
      <w:r w:rsidRPr="00292F04">
        <w:lastRenderedPageBreak/>
        <w:t xml:space="preserve">características da infecção pelo HIV/aids, </w:t>
      </w:r>
      <w:r w:rsidR="002944B9" w:rsidRPr="00292F04">
        <w:t>(d</w:t>
      </w:r>
      <w:r w:rsidR="00533351" w:rsidRPr="00292F04">
        <w:t xml:space="preserve">) </w:t>
      </w:r>
      <w:r w:rsidRPr="00292F04">
        <w:t xml:space="preserve">relação com o serviço de saúde e </w:t>
      </w:r>
      <w:r w:rsidR="002944B9" w:rsidRPr="00292F04">
        <w:t>(e</w:t>
      </w:r>
      <w:r w:rsidR="00533351" w:rsidRPr="00292F04">
        <w:t xml:space="preserve">) </w:t>
      </w:r>
      <w:r w:rsidRPr="00292F04">
        <w:t>apoio social</w:t>
      </w:r>
      <w:r w:rsidRPr="001926A5">
        <w:t xml:space="preserve">, categorias que têm sido evidenciadas em estudos sobre adesão ao tratamento. </w:t>
      </w:r>
    </w:p>
    <w:p w14:paraId="6D58CB4A" w14:textId="50D4F2A2" w:rsidR="00CE4EC9" w:rsidRDefault="00CE4EC9" w:rsidP="00A455BF">
      <w:pPr>
        <w:ind w:leftChars="0" w:left="0" w:firstLineChars="0" w:firstLine="720"/>
      </w:pPr>
      <w:r w:rsidRPr="00EB0D84">
        <w:t xml:space="preserve">Assim, embora a adesão à TARV seja essencial para o controle clínico e a prevenção da transmissão, ela é afetada pelas mudanças que o diagnóstico e o tratamento impõem à vida das pessoas. O convívio com uma condição crônica demanda ajustamento contínuo às dimensões físicas, emocionais e sociais, podendo gerar ansiedade, depressão e queda na qualidade de vida (Nogueira et al., 2019; Souza et al., 2023). Compreender esse processo é fundamental </w:t>
      </w:r>
      <w:r w:rsidR="00292F04">
        <w:t xml:space="preserve">- </w:t>
      </w:r>
      <w:r w:rsidRPr="00EB0D84">
        <w:t>e será abordado na próxima seção.</w:t>
      </w:r>
    </w:p>
    <w:p w14:paraId="17F62ABE" w14:textId="77777777" w:rsidR="006950CD" w:rsidRPr="00EB0D84" w:rsidRDefault="00747A7F">
      <w:pPr>
        <w:ind w:left="0" w:hanging="2"/>
      </w:pPr>
      <w:r w:rsidRPr="00EB0D84">
        <w:rPr>
          <w:b/>
        </w:rPr>
        <w:t xml:space="preserve">Ajustamento </w:t>
      </w:r>
    </w:p>
    <w:p w14:paraId="59D28773" w14:textId="0D2F10D7" w:rsidR="006950CD" w:rsidRPr="001926A5" w:rsidRDefault="00747A7F" w:rsidP="00A455BF">
      <w:pPr>
        <w:ind w:leftChars="0" w:left="0" w:firstLineChars="0" w:firstLine="720"/>
      </w:pPr>
      <w:r w:rsidRPr="001926A5">
        <w:t>O ajustamento se refere ao processo dinâmico entre as necessidades impostas pelo adoecimento e o indivíduo, que resultará no modo de lidar com as mudanças provocadas pela enfermidade ao longo da vida. Assim, pessoas acometidas por uma doença crônica, não mais retornarão ao seu estado de saúde anterior e poderão, ou não, apresentar mudanças nos domínios físico, emocional, laboral, financeiro, conjugal, familiar, social e espiritual (Souza</w:t>
      </w:r>
      <w:r w:rsidR="00E703FA">
        <w:t xml:space="preserve"> et al.</w:t>
      </w:r>
      <w:r w:rsidRPr="001926A5">
        <w:t>, 20</w:t>
      </w:r>
      <w:r w:rsidR="00E703FA">
        <w:t>23</w:t>
      </w:r>
      <w:r w:rsidRPr="001926A5">
        <w:t>). Consequentemente, as pessoas estarão sujeitas a vivenciar efeitos negativos devido a tais mudanças, como resposta ao processo de ajustamento, podendo apresentar reações psicológicas como ansiedade e depressão, piores escores em qualidade de vida e em funcionamento físico, ainda que temporariamente (Nogueira et al., 2019).</w:t>
      </w:r>
      <w:r w:rsidR="001F68F3">
        <w:t xml:space="preserve"> </w:t>
      </w:r>
    </w:p>
    <w:p w14:paraId="7CA32B1A" w14:textId="38D7FC19" w:rsidR="006950CD" w:rsidRPr="001926A5" w:rsidRDefault="00747A7F" w:rsidP="00A455BF">
      <w:pPr>
        <w:ind w:leftChars="0" w:left="0" w:firstLineChars="0" w:firstLine="720"/>
      </w:pPr>
      <w:r w:rsidRPr="001926A5">
        <w:t>É de grande importância identificar variáveis preditoras da adaptação ao adoecimento crônico para avaliar o processo de ajustamento e de adesão ao tratamento, com o intuito de sinalizar a necessidade de encaminhamento da PVHIV para atendimento psicológico. Neste estudo, foram adotadas as variáveis que compõem o instrumento Indicador de Risco Psicológico em Oncologia (IRPO) (Souza et al., 2023), que foi renomeado para Indicador de Risco Psicológico (IRP), pois os participantes da presente pesquisa foram PVHIV. Há</w:t>
      </w:r>
      <w:r w:rsidR="00292F04">
        <w:t xml:space="preserve"> </w:t>
      </w:r>
      <w:r w:rsidRPr="001926A5">
        <w:lastRenderedPageBreak/>
        <w:t xml:space="preserve">evidências </w:t>
      </w:r>
      <w:r w:rsidR="00A40666">
        <w:t xml:space="preserve">de </w:t>
      </w:r>
      <w:r w:rsidRPr="001926A5">
        <w:t xml:space="preserve">que a prevalência de </w:t>
      </w:r>
      <w:proofErr w:type="spellStart"/>
      <w:r w:rsidRPr="001926A5">
        <w:rPr>
          <w:i/>
        </w:rPr>
        <w:t>distress</w:t>
      </w:r>
      <w:proofErr w:type="spellEnd"/>
      <w:r w:rsidRPr="001926A5">
        <w:t xml:space="preserve">, principalmente na população jovem, esteve associada à adesão insatisfatória à TARV que, consequentemente, pode redundar em baixa supressão da carga viral, resistência aos medicamentos e aumento da morbimortalidade por aids (Almeida, 2018). </w:t>
      </w:r>
    </w:p>
    <w:p w14:paraId="1AB98CF8" w14:textId="77777777" w:rsidR="006950CD" w:rsidRPr="001926A5" w:rsidRDefault="00747A7F">
      <w:pPr>
        <w:ind w:left="0" w:hanging="2"/>
      </w:pPr>
      <w:r w:rsidRPr="001926A5">
        <w:rPr>
          <w:b/>
        </w:rPr>
        <w:t xml:space="preserve">Ansiedade e Depressão em HIV/aids </w:t>
      </w:r>
    </w:p>
    <w:p w14:paraId="5B61B79F" w14:textId="7DC08215" w:rsidR="006950CD" w:rsidRPr="001926A5" w:rsidRDefault="00747A7F" w:rsidP="00A455BF">
      <w:pPr>
        <w:ind w:leftChars="0" w:left="0" w:firstLineChars="0" w:firstLine="720"/>
      </w:pPr>
      <w:r w:rsidRPr="001926A5">
        <w:t xml:space="preserve">Em estudo com 84 participantes, que </w:t>
      </w:r>
      <w:r w:rsidR="000A4840">
        <w:t>teve como objetivo</w:t>
      </w:r>
      <w:r w:rsidR="000A4840" w:rsidRPr="001926A5">
        <w:t xml:space="preserve"> </w:t>
      </w:r>
      <w:r w:rsidRPr="001926A5">
        <w:t xml:space="preserve">estimar a prevalência de sintomas de </w:t>
      </w:r>
      <w:r w:rsidRPr="00292F04">
        <w:t xml:space="preserve">ansiedade e depressão de PVHIV, Rodovalho et al. (2018) identificaram a ocorrência de depressão em 53% da amostra. </w:t>
      </w:r>
      <w:r w:rsidR="00A40666" w:rsidRPr="00292F04">
        <w:t>Após análise bivariada, e</w:t>
      </w:r>
      <w:r w:rsidRPr="00292F04">
        <w:t>ste dado foi também associado a outras alterações de saúde mental, como ansiedade, distúrbios do sono e ideação suicida.</w:t>
      </w:r>
      <w:r w:rsidR="000A4840" w:rsidRPr="00292F04">
        <w:t xml:space="preserve"> Os autores destaca</w:t>
      </w:r>
      <w:r w:rsidR="00B4469A" w:rsidRPr="00292F04">
        <w:t>ra</w:t>
      </w:r>
      <w:r w:rsidR="000A4840" w:rsidRPr="00292F04">
        <w:t>m que tais condições psicopatológicas são frequentes em pessoas vivendo com HIV e podem contribuir para uma adesão insuficiente à TARV</w:t>
      </w:r>
      <w:r w:rsidRPr="00292F04">
        <w:t xml:space="preserve">. </w:t>
      </w:r>
    </w:p>
    <w:p w14:paraId="56574959" w14:textId="3105732D" w:rsidR="006950CD" w:rsidRPr="001926A5" w:rsidRDefault="00747A7F" w:rsidP="00B73AEF">
      <w:pPr>
        <w:ind w:leftChars="0" w:left="0" w:firstLineChars="0" w:firstLine="720"/>
      </w:pPr>
      <w:r w:rsidRPr="001926A5">
        <w:t>Na China</w:t>
      </w:r>
      <w:r w:rsidR="00A40666">
        <w:t>,</w:t>
      </w:r>
      <w:r w:rsidRPr="001926A5">
        <w:t xml:space="preserve"> foi realizado um estudo que descreveu a trajetória longitudinal de PVHIV com diagnóstico </w:t>
      </w:r>
      <w:r w:rsidRPr="00292F04">
        <w:t>recente</w:t>
      </w:r>
      <w:r w:rsidR="00A40666" w:rsidRPr="00292F04">
        <w:t xml:space="preserve"> em relação </w:t>
      </w:r>
      <w:r w:rsidRPr="00292F04">
        <w:t xml:space="preserve">à utilização </w:t>
      </w:r>
      <w:r w:rsidRPr="001926A5">
        <w:t xml:space="preserve">de serviços de saúde mental e presença de sintomas de depressão e ansiedade. A amostra, composta por 410 participantes, foi acompanhada durante um ano após o diagnóstico positivo de infecção pelo HIV. Dentre tais participantes, cerca de </w:t>
      </w:r>
      <w:r w:rsidRPr="00C256D2">
        <w:t>39,3</w:t>
      </w:r>
      <w:r w:rsidR="003B0BBE" w:rsidRPr="00C256D2">
        <w:t>0</w:t>
      </w:r>
      <w:r w:rsidRPr="00C256D2">
        <w:t>%</w:t>
      </w:r>
      <w:r w:rsidRPr="001926A5">
        <w:t xml:space="preserve"> apresentaram sintomas significativos de ansiedade e depressão após passarem por avaliação logo após o diagnóstico (Niu et al., 2019).</w:t>
      </w:r>
      <w:r w:rsidR="001F68F3">
        <w:t xml:space="preserve"> </w:t>
      </w:r>
      <w:r w:rsidR="00B73AEF" w:rsidRPr="00A2444F">
        <w:t xml:space="preserve">Em suma, </w:t>
      </w:r>
      <w:r w:rsidR="00292F04" w:rsidRPr="00C256D2">
        <w:t xml:space="preserve">ambos os </w:t>
      </w:r>
      <w:r w:rsidRPr="001926A5">
        <w:t xml:space="preserve">estudos indicaram a necessidade de integrar a avaliação de sinais e sintomas de ansiedade e depressão à triagem inicial de PVHIV para que haja o desenvolvimento de intervenções psicológicas oportunas, objetivando a promoção da saúde e a prevenção de transtornos mentais (Niu et al., 2019; Rodovalho et al., 2018). </w:t>
      </w:r>
    </w:p>
    <w:p w14:paraId="6DA5C62D" w14:textId="1527DABD" w:rsidR="001F6076" w:rsidRPr="001926A5" w:rsidRDefault="00747A7F" w:rsidP="00A455BF">
      <w:pPr>
        <w:ind w:leftChars="0" w:left="0" w:firstLineChars="0" w:firstLine="720"/>
      </w:pPr>
      <w:r w:rsidRPr="00292F04">
        <w:t xml:space="preserve">Ao </w:t>
      </w:r>
      <w:r w:rsidR="00BF4DAB" w:rsidRPr="00292F04">
        <w:t xml:space="preserve">refletir sobre </w:t>
      </w:r>
      <w:r w:rsidRPr="00292F04">
        <w:t xml:space="preserve">as vulnerabilidades de PVHIV e </w:t>
      </w:r>
      <w:r w:rsidR="00BF4DAB" w:rsidRPr="00292F04">
        <w:t xml:space="preserve">as </w:t>
      </w:r>
      <w:r w:rsidRPr="00292F04">
        <w:t xml:space="preserve">modalidades de avaliação do processo de ajustamento no contexto do adoecimento, tem sido possível a identificação de pacientes que apresentam algum nível de sofrimento emocional e prejuízo em suas relações </w:t>
      </w:r>
      <w:r w:rsidRPr="00292F04">
        <w:lastRenderedPageBreak/>
        <w:t xml:space="preserve">sociais. Tais esforços poderão favorecer a oferta de intervenções psicossociais compatíveis </w:t>
      </w:r>
      <w:r w:rsidR="00BF4DAB" w:rsidRPr="00292F04">
        <w:t>com a</w:t>
      </w:r>
      <w:r w:rsidRPr="00292F04">
        <w:t xml:space="preserve">s demandas e necessidades dos pacientes. Ademais, é de suma importância a avaliação da adesão ao tratamento à TARV, tendo em vista a necessidade de identificar precocemente as especificidades de usuários em risco ou que já apresentem dificuldades de </w:t>
      </w:r>
      <w:r w:rsidRPr="001926A5">
        <w:t xml:space="preserve">adesão. </w:t>
      </w:r>
    </w:p>
    <w:p w14:paraId="0BB0AD4E" w14:textId="57CAA4B3" w:rsidR="006950CD" w:rsidRPr="001926A5" w:rsidRDefault="00747A7F" w:rsidP="00A455BF">
      <w:pPr>
        <w:ind w:leftChars="0" w:left="0" w:firstLineChars="0" w:firstLine="720"/>
      </w:pPr>
      <w:r w:rsidRPr="001926A5">
        <w:t xml:space="preserve">O presente estudo teve por objetivo investigar preditores da adesão ao tratamento entre variáveis sociodemográficas, médico-clínicas, risco psicológico de não ajustamento à </w:t>
      </w:r>
      <w:proofErr w:type="spellStart"/>
      <w:r w:rsidRPr="001926A5">
        <w:t>soropositividade</w:t>
      </w:r>
      <w:proofErr w:type="spellEnd"/>
      <w:r w:rsidRPr="001926A5">
        <w:t xml:space="preserve"> e </w:t>
      </w:r>
      <w:proofErr w:type="spellStart"/>
      <w:r w:rsidRPr="001926A5">
        <w:rPr>
          <w:i/>
        </w:rPr>
        <w:t>distress</w:t>
      </w:r>
      <w:proofErr w:type="spellEnd"/>
      <w:r w:rsidRPr="001926A5">
        <w:t xml:space="preserve"> em pessoas vivendo com HIV (PVHIV). Com base na revisão de literatura e na experiência clínica de atendimento da pesquisadora a essa clientela, as seguintes hipóteses foram formuladas: </w:t>
      </w:r>
      <w:r w:rsidR="001B00E2">
        <w:t>(a)</w:t>
      </w:r>
      <w:r w:rsidRPr="001926A5">
        <w:t xml:space="preserve"> PVHIV com níveis de adesão estrita não apresentarão níveis relevantes de </w:t>
      </w:r>
      <w:proofErr w:type="spellStart"/>
      <w:r w:rsidRPr="001926A5">
        <w:rPr>
          <w:i/>
        </w:rPr>
        <w:t>distress</w:t>
      </w:r>
      <w:proofErr w:type="spellEnd"/>
      <w:r w:rsidRPr="001926A5">
        <w:t xml:space="preserve"> e de risco psicológico de não ajustamento; </w:t>
      </w:r>
      <w:r w:rsidR="001B00E2">
        <w:t>(b)</w:t>
      </w:r>
      <w:r w:rsidRPr="001926A5">
        <w:t xml:space="preserve"> </w:t>
      </w:r>
      <w:r w:rsidR="002E7F42">
        <w:t>a</w:t>
      </w:r>
      <w:r w:rsidRPr="001926A5">
        <w:t xml:space="preserve"> variável interrupção do tratamento por conta própria será preditora da adesão ao tratamento</w:t>
      </w:r>
      <w:r w:rsidR="00630C9D">
        <w:t xml:space="preserve"> –</w:t>
      </w:r>
      <w:r w:rsidR="00630C9D" w:rsidRPr="00007A57">
        <w:t xml:space="preserve"> </w:t>
      </w:r>
      <w:r w:rsidRPr="001926A5">
        <w:t>ausência de interrupção estará associada a níveis mais altos de adesão.</w:t>
      </w:r>
    </w:p>
    <w:p w14:paraId="13F52DAE" w14:textId="77777777" w:rsidR="006950CD" w:rsidRPr="001926A5" w:rsidRDefault="00747A7F" w:rsidP="00804DA6">
      <w:pPr>
        <w:ind w:left="0" w:hanging="2"/>
        <w:jc w:val="center"/>
      </w:pPr>
      <w:r w:rsidRPr="001926A5">
        <w:rPr>
          <w:b/>
        </w:rPr>
        <w:t>Método</w:t>
      </w:r>
    </w:p>
    <w:p w14:paraId="3FE6235C" w14:textId="279EBEA1" w:rsidR="006950CD" w:rsidRPr="001926A5" w:rsidRDefault="00747A7F" w:rsidP="00A455BF">
      <w:pPr>
        <w:ind w:leftChars="0" w:left="0" w:firstLineChars="0" w:firstLine="720"/>
      </w:pPr>
      <w:r w:rsidRPr="001926A5">
        <w:t>Estudo com delineamento transversal e observaci</w:t>
      </w:r>
      <w:r w:rsidR="00A135E0" w:rsidRPr="001926A5">
        <w:t xml:space="preserve">onal com abordagem quantitativa, </w:t>
      </w:r>
      <w:r w:rsidR="00B73AEF">
        <w:t xml:space="preserve">com </w:t>
      </w:r>
      <w:r w:rsidR="00A135E0" w:rsidRPr="001926A5">
        <w:t>análises estatísticas descritivas e inferenciais</w:t>
      </w:r>
      <w:r w:rsidR="00B73AEF">
        <w:t>.</w:t>
      </w:r>
      <w:r w:rsidR="00A135E0" w:rsidRPr="001926A5">
        <w:t xml:space="preserve"> </w:t>
      </w:r>
    </w:p>
    <w:p w14:paraId="7AE74E45" w14:textId="77777777" w:rsidR="006950CD" w:rsidRPr="001926A5" w:rsidRDefault="00747A7F">
      <w:pPr>
        <w:ind w:left="0" w:hanging="2"/>
      </w:pPr>
      <w:r w:rsidRPr="001926A5">
        <w:rPr>
          <w:b/>
        </w:rPr>
        <w:t xml:space="preserve">Participantes </w:t>
      </w:r>
    </w:p>
    <w:p w14:paraId="16B2A2B5" w14:textId="1003E13C" w:rsidR="006950CD" w:rsidRPr="00C77558" w:rsidRDefault="00747A7F" w:rsidP="00A455BF">
      <w:pPr>
        <w:ind w:leftChars="0" w:left="0" w:firstLineChars="0" w:firstLine="720"/>
      </w:pPr>
      <w:r w:rsidRPr="001926A5">
        <w:t xml:space="preserve">A amostra, selecionada por conveniência, foi composta por 130 participantes, de ambos os sexos, acompanhados </w:t>
      </w:r>
      <w:r w:rsidR="00E55A13">
        <w:t>pelo</w:t>
      </w:r>
      <w:r w:rsidRPr="001926A5">
        <w:t xml:space="preserve"> Serviço de Assistência Especializada em HIV/aids do município de Goiânia (GO), </w:t>
      </w:r>
      <w:r w:rsidR="00E55A13">
        <w:t>a</w:t>
      </w:r>
      <w:r w:rsidRPr="001926A5">
        <w:t xml:space="preserve"> nível </w:t>
      </w:r>
      <w:r w:rsidRPr="00C77558">
        <w:t>ambulatorial ou de internação do Hospital Estadual de Doenças Tropicais Dr. Anuar Auad (HDT)</w:t>
      </w:r>
      <w:r w:rsidR="00E55A13" w:rsidRPr="00C77558">
        <w:t>. Trata-se de uma</w:t>
      </w:r>
      <w:r w:rsidRPr="00C77558">
        <w:t xml:space="preserve"> instituição da Secretaria de Saúde do Estado de Goiás, referência em atendimento eletivo e de emergência de média e alta complexidade em Infectologia e Dermatologia Sanitária. </w:t>
      </w:r>
    </w:p>
    <w:p w14:paraId="5E18B3F9" w14:textId="2A46C23B" w:rsidR="006950CD" w:rsidRPr="00C77558" w:rsidRDefault="00747A7F" w:rsidP="00A455BF">
      <w:pPr>
        <w:ind w:leftChars="0" w:left="0" w:firstLineChars="0" w:firstLine="720"/>
      </w:pPr>
      <w:r w:rsidRPr="00C77558">
        <w:t xml:space="preserve">Os critérios de inclusão foram: </w:t>
      </w:r>
      <w:r w:rsidR="00A77B2B" w:rsidRPr="00C77558">
        <w:t>(a</w:t>
      </w:r>
      <w:r w:rsidR="00E55A13" w:rsidRPr="00C77558">
        <w:t xml:space="preserve">) </w:t>
      </w:r>
      <w:r w:rsidRPr="00C77558">
        <w:t>PVHIV com idade mínima de 18 anos, sem distinção de sexo, raça, situação conjugal e condição socioeconômica;</w:t>
      </w:r>
      <w:r w:rsidR="00A77B2B" w:rsidRPr="00C77558">
        <w:t>(b</w:t>
      </w:r>
      <w:r w:rsidR="00E55A13" w:rsidRPr="00C77558">
        <w:t xml:space="preserve">) </w:t>
      </w:r>
      <w:r w:rsidRPr="00C77558">
        <w:t xml:space="preserve">estar em uso de TARV ao </w:t>
      </w:r>
      <w:r w:rsidRPr="00C77558">
        <w:lastRenderedPageBreak/>
        <w:t xml:space="preserve">menos por três meses; </w:t>
      </w:r>
      <w:r w:rsidR="00E55A13" w:rsidRPr="00C77558">
        <w:t xml:space="preserve">e </w:t>
      </w:r>
      <w:r w:rsidR="0001081D" w:rsidRPr="00C77558">
        <w:t>(c</w:t>
      </w:r>
      <w:r w:rsidR="00E55A13" w:rsidRPr="00C77558">
        <w:t xml:space="preserve">) </w:t>
      </w:r>
      <w:r w:rsidRPr="00C77558">
        <w:t>consentir em participar do estudo mediante assinatura do Termo de Consentimento Livre e Esclarecido (TCLE).</w:t>
      </w:r>
      <w:r w:rsidR="001F68F3">
        <w:t xml:space="preserve"> </w:t>
      </w:r>
    </w:p>
    <w:p w14:paraId="74BD3677" w14:textId="55ADFD9F" w:rsidR="006950CD" w:rsidRPr="001926A5" w:rsidRDefault="00747A7F" w:rsidP="00A455BF">
      <w:pPr>
        <w:ind w:leftChars="0" w:left="0" w:firstLineChars="0" w:firstLine="720"/>
      </w:pPr>
      <w:r w:rsidRPr="001926A5">
        <w:t xml:space="preserve">Os participantes estavam sendo atendidos </w:t>
      </w:r>
      <w:r w:rsidR="007C376B">
        <w:t>a</w:t>
      </w:r>
      <w:r w:rsidRPr="001926A5">
        <w:t xml:space="preserve"> nível ambulatorial (86,9</w:t>
      </w:r>
      <w:r w:rsidR="00B73AEF">
        <w:t>0</w:t>
      </w:r>
      <w:r w:rsidRPr="001926A5">
        <w:t xml:space="preserve">%) ou em condição de internação </w:t>
      </w:r>
      <w:r w:rsidRPr="00B86693">
        <w:t>(13,1</w:t>
      </w:r>
      <w:r w:rsidR="00B86693" w:rsidRPr="00B86693">
        <w:t>0</w:t>
      </w:r>
      <w:r w:rsidRPr="00B86693">
        <w:t>%). Destes, 83 eram do sexo masculino (63,8</w:t>
      </w:r>
      <w:r w:rsidR="00B86693" w:rsidRPr="00B86693">
        <w:t>0</w:t>
      </w:r>
      <w:r w:rsidRPr="00B86693">
        <w:t>%) e 47 do feminino (36,2</w:t>
      </w:r>
      <w:r w:rsidR="00B86693" w:rsidRPr="00B86693">
        <w:t>0</w:t>
      </w:r>
      <w:r w:rsidRPr="00B86693">
        <w:t>%), sendo que 74 eram homens cisgênero (56,9</w:t>
      </w:r>
      <w:r w:rsidR="00B86693" w:rsidRPr="00B86693">
        <w:t>2</w:t>
      </w:r>
      <w:r w:rsidRPr="00B86693">
        <w:t>%) e 47 eram mulheres cisgênero (36,</w:t>
      </w:r>
      <w:r w:rsidR="00B86693" w:rsidRPr="00B86693">
        <w:t>15</w:t>
      </w:r>
      <w:r w:rsidRPr="00B86693">
        <w:t>%). Quanto à orientação sexual, 62 participantes informaram ser heterossexuais (47,7</w:t>
      </w:r>
      <w:r w:rsidR="00B86693" w:rsidRPr="00B86693">
        <w:t>0</w:t>
      </w:r>
      <w:r w:rsidRPr="00B86693">
        <w:t>%) e 60 homossexuais (46,</w:t>
      </w:r>
      <w:r w:rsidR="00B86693" w:rsidRPr="00B86693">
        <w:t>15</w:t>
      </w:r>
      <w:r w:rsidRPr="00B86693">
        <w:t>%).</w:t>
      </w:r>
      <w:r w:rsidR="001F68F3">
        <w:t xml:space="preserve"> </w:t>
      </w:r>
    </w:p>
    <w:p w14:paraId="19DF595C" w14:textId="64DCEB60" w:rsidR="006950CD" w:rsidRPr="003B3BDB" w:rsidRDefault="00747A7F" w:rsidP="00A455BF">
      <w:pPr>
        <w:ind w:leftChars="0" w:left="0" w:firstLineChars="0" w:firstLine="720"/>
      </w:pPr>
      <w:r w:rsidRPr="001926A5">
        <w:t>A média de idade foi igual a 37,62 anos (</w:t>
      </w:r>
      <w:r w:rsidRPr="001926A5">
        <w:rPr>
          <w:i/>
        </w:rPr>
        <w:t>DP</w:t>
      </w:r>
      <w:r w:rsidR="00813973">
        <w:rPr>
          <w:i/>
        </w:rPr>
        <w:t xml:space="preserve"> </w:t>
      </w:r>
      <w:r w:rsidRPr="001926A5">
        <w:t>=</w:t>
      </w:r>
      <w:r w:rsidR="00813973">
        <w:t xml:space="preserve"> </w:t>
      </w:r>
      <w:r w:rsidRPr="001926A5">
        <w:t>12,09), com idade mínima de 18 e máxima de 66 anos</w:t>
      </w:r>
      <w:r w:rsidRPr="00C77558">
        <w:t xml:space="preserve">. </w:t>
      </w:r>
      <w:r w:rsidR="007C376B" w:rsidRPr="00C77558">
        <w:t>Em relação ao local de residência, o</w:t>
      </w:r>
      <w:r w:rsidRPr="00C77558">
        <w:t xml:space="preserve">s participantes estavam </w:t>
      </w:r>
      <w:r w:rsidR="007C376B" w:rsidRPr="00C77558">
        <w:t xml:space="preserve">distribuídos </w:t>
      </w:r>
      <w:proofErr w:type="spellStart"/>
      <w:r w:rsidRPr="00C77558">
        <w:t>diversificadamente</w:t>
      </w:r>
      <w:proofErr w:type="spellEnd"/>
      <w:r w:rsidRPr="00C77558">
        <w:t>: 78 em diferentes cidades do estado de Goiás (60%)</w:t>
      </w:r>
      <w:r w:rsidR="007C376B" w:rsidRPr="00C77558">
        <w:t xml:space="preserve"> e</w:t>
      </w:r>
      <w:r w:rsidRPr="00C77558">
        <w:t xml:space="preserve"> 52 na cidade de Goiânia-GO (40%). Quanto </w:t>
      </w:r>
      <w:r w:rsidRPr="001926A5">
        <w:t>à cor autorreferida, a amostra foi composta majoritariamente por pessoas pardas (</w:t>
      </w:r>
      <w:r w:rsidRPr="001926A5">
        <w:rPr>
          <w:i/>
        </w:rPr>
        <w:t>n</w:t>
      </w:r>
      <w:r w:rsidR="00E242CC">
        <w:rPr>
          <w:i/>
        </w:rPr>
        <w:t xml:space="preserve"> </w:t>
      </w:r>
      <w:r w:rsidRPr="001926A5">
        <w:t xml:space="preserve">= </w:t>
      </w:r>
      <w:r w:rsidRPr="00B86693">
        <w:t>81; 62,3</w:t>
      </w:r>
      <w:r w:rsidR="00B86693" w:rsidRPr="00B86693">
        <w:t>1</w:t>
      </w:r>
      <w:r w:rsidRPr="00B86693">
        <w:t>%) e brancas (</w:t>
      </w:r>
      <w:r w:rsidRPr="00B86693">
        <w:rPr>
          <w:i/>
        </w:rPr>
        <w:t>n</w:t>
      </w:r>
      <w:r w:rsidR="00E242CC" w:rsidRPr="00B86693">
        <w:rPr>
          <w:i/>
        </w:rPr>
        <w:t xml:space="preserve"> </w:t>
      </w:r>
      <w:r w:rsidRPr="00B86693">
        <w:t>= 32; 24,6</w:t>
      </w:r>
      <w:r w:rsidR="00B86693" w:rsidRPr="00B86693">
        <w:t>1</w:t>
      </w:r>
      <w:r w:rsidRPr="00B86693">
        <w:t>%). No que tange à situação conjugal, 79 (60,8</w:t>
      </w:r>
      <w:r w:rsidR="00B86693" w:rsidRPr="00B86693">
        <w:t>0</w:t>
      </w:r>
      <w:r w:rsidRPr="00B86693">
        <w:t>%) declararam não possuir companheiro(a) e 51 (39,</w:t>
      </w:r>
      <w:r w:rsidR="003B3BDB" w:rsidRPr="00B86693">
        <w:t>2</w:t>
      </w:r>
      <w:r w:rsidR="003B3BDB">
        <w:t>0</w:t>
      </w:r>
      <w:r w:rsidRPr="00B86693">
        <w:t xml:space="preserve">%) informaram possuir </w:t>
      </w:r>
      <w:r w:rsidRPr="003B3BDB">
        <w:t>companheiro(a).</w:t>
      </w:r>
      <w:r w:rsidR="001F68F3">
        <w:t xml:space="preserve"> </w:t>
      </w:r>
    </w:p>
    <w:p w14:paraId="2873E814" w14:textId="2166B072" w:rsidR="006950CD" w:rsidRPr="001926A5" w:rsidRDefault="00747A7F" w:rsidP="00A455BF">
      <w:pPr>
        <w:ind w:leftChars="0" w:left="0" w:firstLineChars="0" w:firstLine="720"/>
      </w:pPr>
      <w:r w:rsidRPr="003B3BDB">
        <w:t>Acerca da escolaridade, uma parcela maior de participantes declarou ter ensino médio completo (</w:t>
      </w:r>
      <w:r w:rsidRPr="003B3BDB">
        <w:rPr>
          <w:i/>
        </w:rPr>
        <w:t>n</w:t>
      </w:r>
      <w:r w:rsidRPr="003B3BDB">
        <w:t xml:space="preserve"> = 55; 42,3</w:t>
      </w:r>
      <w:r w:rsidR="003B3BDB" w:rsidRPr="003B3BDB">
        <w:t>1</w:t>
      </w:r>
      <w:r w:rsidRPr="003B3BDB">
        <w:t>%), seguido de ensino médio incompleto (</w:t>
      </w:r>
      <w:r w:rsidRPr="003B3BDB">
        <w:rPr>
          <w:i/>
        </w:rPr>
        <w:t>n</w:t>
      </w:r>
      <w:r w:rsidR="00E242CC" w:rsidRPr="003B3BDB">
        <w:rPr>
          <w:i/>
        </w:rPr>
        <w:t xml:space="preserve"> </w:t>
      </w:r>
      <w:r w:rsidRPr="003B3BDB">
        <w:t>= 21;16,</w:t>
      </w:r>
      <w:r w:rsidR="003B3BDB" w:rsidRPr="003B3BDB">
        <w:t>15</w:t>
      </w:r>
      <w:r w:rsidRPr="003B3BDB">
        <w:t>%) e de superior completo (</w:t>
      </w:r>
      <w:r w:rsidRPr="003B3BDB">
        <w:rPr>
          <w:i/>
        </w:rPr>
        <w:t>n</w:t>
      </w:r>
      <w:r w:rsidR="00E242CC" w:rsidRPr="003B3BDB">
        <w:rPr>
          <w:i/>
        </w:rPr>
        <w:t xml:space="preserve"> </w:t>
      </w:r>
      <w:r w:rsidRPr="003B3BDB">
        <w:t>= 20; 15,4</w:t>
      </w:r>
      <w:r w:rsidR="003B3BDB" w:rsidRPr="003B3BDB">
        <w:t>0</w:t>
      </w:r>
      <w:r w:rsidRPr="003B3BDB">
        <w:t>%). A maioria (</w:t>
      </w:r>
      <w:r w:rsidRPr="003B3BDB">
        <w:rPr>
          <w:i/>
        </w:rPr>
        <w:t>n</w:t>
      </w:r>
      <w:r w:rsidR="00E242CC" w:rsidRPr="003B3BDB">
        <w:rPr>
          <w:i/>
        </w:rPr>
        <w:t xml:space="preserve"> </w:t>
      </w:r>
      <w:r w:rsidRPr="003B3BDB">
        <w:t>= 93; 71,5</w:t>
      </w:r>
      <w:r w:rsidR="003B3BDB" w:rsidRPr="003B3BDB">
        <w:t>4</w:t>
      </w:r>
      <w:r w:rsidRPr="003B3BDB">
        <w:t xml:space="preserve">%) declarou que a renda familiar girava em torno de </w:t>
      </w:r>
      <w:r w:rsidR="00FD7EE8" w:rsidRPr="003B3BDB">
        <w:t xml:space="preserve">um </w:t>
      </w:r>
      <w:r w:rsidRPr="003B3BDB">
        <w:t xml:space="preserve">a </w:t>
      </w:r>
      <w:r w:rsidR="00FD7EE8" w:rsidRPr="00C77558">
        <w:t xml:space="preserve">três </w:t>
      </w:r>
      <w:r w:rsidRPr="00C77558">
        <w:t>salários-mínimos. Por fim, 74 pessoas (56,9</w:t>
      </w:r>
      <w:r w:rsidR="003B3BDB" w:rsidRPr="00C77558">
        <w:t>2</w:t>
      </w:r>
      <w:r w:rsidRPr="00C77558">
        <w:t>%) informaram possuir religião e crença em uma doutrina</w:t>
      </w:r>
      <w:r w:rsidR="007C376B" w:rsidRPr="00C77558">
        <w:t xml:space="preserve">, enquanto </w:t>
      </w:r>
      <w:r w:rsidRPr="00C77558">
        <w:t xml:space="preserve">50 </w:t>
      </w:r>
      <w:r w:rsidR="007C376B" w:rsidRPr="00C77558">
        <w:t xml:space="preserve">pessoas </w:t>
      </w:r>
      <w:r w:rsidRPr="00C77558">
        <w:t>(38,5</w:t>
      </w:r>
      <w:r w:rsidR="003B3BDB" w:rsidRPr="00C77558">
        <w:t>0</w:t>
      </w:r>
      <w:r w:rsidRPr="00C77558">
        <w:t>%) informaram possuir crença religiosa, porém não relativa a uma doutrina específica.</w:t>
      </w:r>
      <w:r w:rsidR="001F68F3">
        <w:t xml:space="preserve"> </w:t>
      </w:r>
    </w:p>
    <w:p w14:paraId="019B0FF3" w14:textId="3B0FCB30" w:rsidR="006950CD" w:rsidRPr="001926A5" w:rsidRDefault="00747A7F" w:rsidP="00A455BF">
      <w:pPr>
        <w:ind w:leftChars="0" w:left="0" w:firstLineChars="0" w:firstLine="720"/>
      </w:pPr>
      <w:r w:rsidRPr="00C77558">
        <w:t xml:space="preserve">Quanto aos dados médico-clínicos, </w:t>
      </w:r>
      <w:r w:rsidR="003B3BDB" w:rsidRPr="00C77558">
        <w:t xml:space="preserve">observou-se </w:t>
      </w:r>
      <w:r w:rsidRPr="00C77558">
        <w:t xml:space="preserve">maior </w:t>
      </w:r>
      <w:r w:rsidR="003B3BDB" w:rsidRPr="00C77558">
        <w:t xml:space="preserve">número de </w:t>
      </w:r>
      <w:r w:rsidRPr="00C77558">
        <w:t>pessoas que possuíam de quatro a nove anos de diagnóstico (</w:t>
      </w:r>
      <w:r w:rsidR="003B3BDB" w:rsidRPr="00C77558">
        <w:rPr>
          <w:i/>
        </w:rPr>
        <w:t>n</w:t>
      </w:r>
      <w:r w:rsidR="00B4469A" w:rsidRPr="00C77558">
        <w:rPr>
          <w:i/>
        </w:rPr>
        <w:t xml:space="preserve"> </w:t>
      </w:r>
      <w:r w:rsidR="003B3BDB" w:rsidRPr="00C77558">
        <w:t>= 47;</w:t>
      </w:r>
      <w:r w:rsidR="00E703FA" w:rsidRPr="00C77558">
        <w:t xml:space="preserve"> </w:t>
      </w:r>
      <w:r w:rsidRPr="00C77558">
        <w:t>36,</w:t>
      </w:r>
      <w:r w:rsidR="003B3BDB" w:rsidRPr="00C77558">
        <w:t>15</w:t>
      </w:r>
      <w:r w:rsidRPr="00C77558">
        <w:t>%), seguidas daquel</w:t>
      </w:r>
      <w:r w:rsidR="003B3BDB" w:rsidRPr="00C77558">
        <w:t>a</w:t>
      </w:r>
      <w:r w:rsidRPr="00C77558">
        <w:t xml:space="preserve">s </w:t>
      </w:r>
      <w:r w:rsidR="003B3BDB" w:rsidRPr="00C77558">
        <w:t>cujo diagnóstico tinha</w:t>
      </w:r>
      <w:r w:rsidRPr="00C77558">
        <w:t xml:space="preserve"> mais de 10 anos (</w:t>
      </w:r>
      <w:r w:rsidR="003B3BDB" w:rsidRPr="00C77558">
        <w:rPr>
          <w:i/>
        </w:rPr>
        <w:t>n</w:t>
      </w:r>
      <w:r w:rsidR="00B4469A" w:rsidRPr="00C77558">
        <w:rPr>
          <w:i/>
        </w:rPr>
        <w:t xml:space="preserve"> </w:t>
      </w:r>
      <w:r w:rsidR="003B3BDB" w:rsidRPr="00C77558">
        <w:t>=</w:t>
      </w:r>
      <w:r w:rsidR="00B4469A" w:rsidRPr="00C77558">
        <w:t xml:space="preserve"> </w:t>
      </w:r>
      <w:r w:rsidR="003B3BDB" w:rsidRPr="00C77558">
        <w:t xml:space="preserve">43; </w:t>
      </w:r>
      <w:r w:rsidRPr="00C77558">
        <w:t>33,</w:t>
      </w:r>
      <w:r w:rsidR="003B3BDB" w:rsidRPr="00C77558">
        <w:t>10</w:t>
      </w:r>
      <w:r w:rsidRPr="00C77558">
        <w:t xml:space="preserve">%). O tempo de diagnóstico </w:t>
      </w:r>
      <w:r w:rsidR="003B3BDB" w:rsidRPr="00C77558">
        <w:t xml:space="preserve">da amostra </w:t>
      </w:r>
      <w:r w:rsidRPr="00C77558">
        <w:t xml:space="preserve">variou de menos de um ano (diagnósticos feitos em 2021) a 34 anos, com média igual a 8,40 </w:t>
      </w:r>
      <w:r w:rsidR="00E703FA" w:rsidRPr="00C77558">
        <w:t xml:space="preserve">anos </w:t>
      </w:r>
      <w:r w:rsidRPr="00C77558">
        <w:t>(</w:t>
      </w:r>
      <w:r w:rsidRPr="00C77558">
        <w:rPr>
          <w:i/>
        </w:rPr>
        <w:t>DP</w:t>
      </w:r>
      <w:r w:rsidR="00E242CC" w:rsidRPr="00C77558">
        <w:rPr>
          <w:i/>
        </w:rPr>
        <w:t xml:space="preserve"> </w:t>
      </w:r>
      <w:r w:rsidRPr="00C77558">
        <w:t>=</w:t>
      </w:r>
      <w:r w:rsidR="00E242CC" w:rsidRPr="00C77558">
        <w:t xml:space="preserve"> </w:t>
      </w:r>
      <w:r w:rsidRPr="00C77558">
        <w:t>7,74).</w:t>
      </w:r>
      <w:r w:rsidR="00C77558">
        <w:t xml:space="preserve"> </w:t>
      </w:r>
      <w:r w:rsidRPr="001926A5">
        <w:lastRenderedPageBreak/>
        <w:t xml:space="preserve">Sobre o tempo de </w:t>
      </w:r>
      <w:r w:rsidR="00DC5CA3">
        <w:t xml:space="preserve">tratamento com a </w:t>
      </w:r>
      <w:r w:rsidRPr="001926A5">
        <w:t xml:space="preserve">TARV, a maior frequência esteve na faixa de quatro a nove anos de uso das </w:t>
      </w:r>
      <w:r w:rsidRPr="00DC5CA3">
        <w:t xml:space="preserve">medicações </w:t>
      </w:r>
      <w:r w:rsidRPr="00C256D2">
        <w:t>(36,2</w:t>
      </w:r>
      <w:r w:rsidR="004E37BB" w:rsidRPr="00C256D2">
        <w:t>0</w:t>
      </w:r>
      <w:r w:rsidRPr="00C256D2">
        <w:t>%),</w:t>
      </w:r>
      <w:r w:rsidRPr="00DC5CA3">
        <w:t xml:space="preserve"> com</w:t>
      </w:r>
      <w:r w:rsidRPr="001926A5">
        <w:t xml:space="preserve"> média igual a 8,09 (</w:t>
      </w:r>
      <w:r w:rsidRPr="001926A5">
        <w:rPr>
          <w:i/>
        </w:rPr>
        <w:t>DP</w:t>
      </w:r>
      <w:r w:rsidR="00936998">
        <w:rPr>
          <w:i/>
        </w:rPr>
        <w:t xml:space="preserve"> </w:t>
      </w:r>
      <w:r w:rsidRPr="001926A5">
        <w:t>=</w:t>
      </w:r>
      <w:r w:rsidR="00936998">
        <w:t xml:space="preserve"> </w:t>
      </w:r>
      <w:r w:rsidRPr="001926A5">
        <w:t>7,61, mínimo</w:t>
      </w:r>
      <w:r w:rsidR="00E242CC">
        <w:t xml:space="preserve"> </w:t>
      </w:r>
      <w:r w:rsidRPr="001926A5">
        <w:t>= &lt; 1 ano; máximo</w:t>
      </w:r>
      <w:r w:rsidR="00E242CC">
        <w:t xml:space="preserve"> </w:t>
      </w:r>
      <w:r w:rsidRPr="001926A5">
        <w:t>=</w:t>
      </w:r>
      <w:r w:rsidR="00E242CC">
        <w:t xml:space="preserve"> </w:t>
      </w:r>
      <w:r w:rsidRPr="001926A5">
        <w:t xml:space="preserve">32 anos). Para as respostas autodeclaradas sobre se houve ou não interrupção do tratamento por conta própria, </w:t>
      </w:r>
      <w:r w:rsidRPr="00DC5CA3">
        <w:t>87 (66,9</w:t>
      </w:r>
      <w:r w:rsidR="00DC5CA3" w:rsidRPr="00DC5CA3">
        <w:t>0</w:t>
      </w:r>
      <w:r w:rsidRPr="00DC5CA3">
        <w:t>%) participantes informaram não ter interrompido, enquanto 43 (33,1</w:t>
      </w:r>
      <w:r w:rsidR="00DC5CA3" w:rsidRPr="00DC5CA3">
        <w:t>0</w:t>
      </w:r>
      <w:r w:rsidRPr="00DC5CA3">
        <w:t>%) informaram ter interrompido o tratamento</w:t>
      </w:r>
      <w:r w:rsidRPr="001926A5">
        <w:t xml:space="preserve"> pelo menos uma vez na história da TARV.</w:t>
      </w:r>
      <w:r w:rsidR="001F68F3">
        <w:t xml:space="preserve"> </w:t>
      </w:r>
    </w:p>
    <w:p w14:paraId="34BF9819" w14:textId="22684389" w:rsidR="006950CD" w:rsidRPr="001926A5" w:rsidRDefault="00747A7F" w:rsidP="00A455BF">
      <w:pPr>
        <w:ind w:leftChars="0" w:left="0" w:firstLineChars="0" w:firstLine="720"/>
      </w:pPr>
      <w:r w:rsidRPr="001926A5">
        <w:t>No que se refere ao marcador biológico linfócitos T CD4, obtidos mediante</w:t>
      </w:r>
      <w:r w:rsidR="009B3DA3">
        <w:t xml:space="preserve"> a</w:t>
      </w:r>
      <w:r w:rsidRPr="001926A5">
        <w:t xml:space="preserve"> análise dos resultados dos exames laboratoriais informados nos prontuários de cada participante, observou-se uma média de 557,16 (</w:t>
      </w:r>
      <w:r w:rsidRPr="001926A5">
        <w:rPr>
          <w:i/>
        </w:rPr>
        <w:t>DP</w:t>
      </w:r>
      <w:r w:rsidR="00C47BD2">
        <w:rPr>
          <w:i/>
        </w:rPr>
        <w:t xml:space="preserve"> </w:t>
      </w:r>
      <w:r w:rsidRPr="001926A5">
        <w:t>= 342,60, mínimo</w:t>
      </w:r>
      <w:r w:rsidR="00C47BD2">
        <w:t xml:space="preserve"> </w:t>
      </w:r>
      <w:r w:rsidRPr="001926A5">
        <w:t>= 2 células/mm³; máximo</w:t>
      </w:r>
      <w:r w:rsidR="00C47BD2">
        <w:t xml:space="preserve"> </w:t>
      </w:r>
      <w:r w:rsidRPr="001926A5">
        <w:t xml:space="preserve">= 1.596 células/mm³), com a maior frequência apresentada na faixa de contagem superior ou igual a 501 células/mm³ </w:t>
      </w:r>
      <w:r w:rsidRPr="00DC5CA3">
        <w:t>(50,8</w:t>
      </w:r>
      <w:r w:rsidR="00DC5CA3" w:rsidRPr="00DC5CA3">
        <w:t>0</w:t>
      </w:r>
      <w:r w:rsidRPr="00DC5CA3">
        <w:t>%).</w:t>
      </w:r>
      <w:r w:rsidRPr="001926A5">
        <w:t xml:space="preserve"> A faixa com contagem inferior ou igual a 200 células/mm³, indicativa de maior vulnerabilidade imunológica, apresentou a menor </w:t>
      </w:r>
      <w:r w:rsidRPr="00DC5CA3">
        <w:t>porcentagem (12,9</w:t>
      </w:r>
      <w:r w:rsidR="00DC5CA3" w:rsidRPr="00DC5CA3">
        <w:t>0</w:t>
      </w:r>
      <w:r w:rsidRPr="00DC5CA3">
        <w:t>%).</w:t>
      </w:r>
      <w:r w:rsidRPr="001926A5">
        <w:t xml:space="preserve"> Para o marcador biológico carga viral (CV), a média apresentada foi de 73.846,80 cópias do vírus (</w:t>
      </w:r>
      <w:r w:rsidRPr="001926A5">
        <w:rPr>
          <w:i/>
        </w:rPr>
        <w:t>DP</w:t>
      </w:r>
      <w:r w:rsidR="00EE7303">
        <w:rPr>
          <w:i/>
        </w:rPr>
        <w:t xml:space="preserve"> </w:t>
      </w:r>
      <w:r w:rsidRPr="001926A5">
        <w:t>=</w:t>
      </w:r>
      <w:r w:rsidR="00EE7303">
        <w:t xml:space="preserve"> </w:t>
      </w:r>
      <w:r w:rsidRPr="001926A5">
        <w:t>713.548,97; mínimo</w:t>
      </w:r>
      <w:r w:rsidR="00EE7303">
        <w:t xml:space="preserve"> </w:t>
      </w:r>
      <w:r w:rsidRPr="001926A5">
        <w:t>= 40; máximo</w:t>
      </w:r>
      <w:r w:rsidR="00EE7303">
        <w:t xml:space="preserve"> </w:t>
      </w:r>
      <w:r w:rsidRPr="001926A5">
        <w:t xml:space="preserve">= 8.113.558). A faixa de maior porcentagem referiu-se à carga viral inferior ou igual a 40 cópias (indetectável) para </w:t>
      </w:r>
      <w:r w:rsidRPr="00DC5CA3">
        <w:t>82,3</w:t>
      </w:r>
      <w:r w:rsidR="00DC5CA3" w:rsidRPr="00DC5CA3">
        <w:t>1</w:t>
      </w:r>
      <w:r w:rsidRPr="00DC5CA3">
        <w:t>%</w:t>
      </w:r>
      <w:r w:rsidRPr="001926A5">
        <w:t xml:space="preserve"> (</w:t>
      </w:r>
      <w:r w:rsidRPr="001926A5">
        <w:rPr>
          <w:i/>
        </w:rPr>
        <w:t>n</w:t>
      </w:r>
      <w:r w:rsidR="00EE7303">
        <w:rPr>
          <w:i/>
        </w:rPr>
        <w:t xml:space="preserve"> </w:t>
      </w:r>
      <w:r w:rsidRPr="001926A5">
        <w:t xml:space="preserve">= 107) da amostra, enquanto a menor porcentagem relacionou-se à faixa de 41 a 5.000 cópias virais </w:t>
      </w:r>
      <w:r w:rsidRPr="001926A5">
        <w:br/>
        <w:t>(</w:t>
      </w:r>
      <w:r w:rsidRPr="001926A5">
        <w:rPr>
          <w:i/>
        </w:rPr>
        <w:t>n</w:t>
      </w:r>
      <w:r w:rsidR="00EE7303">
        <w:rPr>
          <w:i/>
        </w:rPr>
        <w:t xml:space="preserve"> </w:t>
      </w:r>
      <w:r w:rsidRPr="001926A5">
        <w:t>= 6; 4,6</w:t>
      </w:r>
      <w:r w:rsidR="00DC5CA3">
        <w:t>1</w:t>
      </w:r>
      <w:r w:rsidRPr="001926A5">
        <w:t>%).</w:t>
      </w:r>
    </w:p>
    <w:p w14:paraId="353AC11D" w14:textId="77777777" w:rsidR="006950CD" w:rsidRPr="001926A5" w:rsidRDefault="00747A7F">
      <w:pPr>
        <w:ind w:left="0" w:hanging="2"/>
      </w:pPr>
      <w:r w:rsidRPr="001926A5">
        <w:rPr>
          <w:b/>
        </w:rPr>
        <w:t>Instrumentos</w:t>
      </w:r>
    </w:p>
    <w:p w14:paraId="2A0F4632" w14:textId="77777777" w:rsidR="006950CD" w:rsidRPr="001926A5" w:rsidRDefault="00747A7F" w:rsidP="00A455BF">
      <w:pPr>
        <w:ind w:leftChars="0" w:left="0" w:firstLineChars="0" w:firstLine="720"/>
      </w:pPr>
      <w:r w:rsidRPr="000E0201">
        <w:rPr>
          <w:i/>
          <w:iCs/>
        </w:rPr>
        <w:t>Questionário sociodemográfico</w:t>
      </w:r>
      <w:r w:rsidRPr="001926A5">
        <w:t>: elaborado para o estudo, levantou as variáveis sexo, gênero, orientação sexual, idade, município de residência, cor/raça autodeclarada, escolaridade, situação conjugal, renda familiar e religião/espiritualidade, com questões fechadas.</w:t>
      </w:r>
    </w:p>
    <w:p w14:paraId="2704C764" w14:textId="69C24664" w:rsidR="006950CD" w:rsidRPr="001926A5" w:rsidRDefault="00747A7F" w:rsidP="00A455BF">
      <w:pPr>
        <w:ind w:leftChars="0" w:left="0" w:firstLineChars="0" w:firstLine="720"/>
      </w:pPr>
      <w:r w:rsidRPr="000E0201">
        <w:rPr>
          <w:i/>
          <w:iCs/>
        </w:rPr>
        <w:t>Questionário médico-clínico</w:t>
      </w:r>
      <w:r w:rsidRPr="001926A5">
        <w:t xml:space="preserve">: elaborado para o estudo, obteve informações sobre tempo de diagnóstico, tempo de TARV e histórico de interrupção do uso da TARV por conta própria </w:t>
      </w:r>
      <w:r w:rsidRPr="001926A5">
        <w:lastRenderedPageBreak/>
        <w:t>(pelo menos uma vez ou mais), resultados de ex</w:t>
      </w:r>
      <w:r w:rsidRPr="00C77558">
        <w:t>ames de células T CD4 e carga viral (</w:t>
      </w:r>
      <w:r w:rsidR="00AF48D0" w:rsidRPr="00C77558">
        <w:t xml:space="preserve">sendo </w:t>
      </w:r>
      <w:r w:rsidRPr="00C77558">
        <w:t xml:space="preserve">estes últimos dados obtidos dos prontuários dos </w:t>
      </w:r>
      <w:r w:rsidRPr="001926A5">
        <w:t>pacientes).</w:t>
      </w:r>
      <w:r w:rsidR="001F68F3">
        <w:t xml:space="preserve"> </w:t>
      </w:r>
    </w:p>
    <w:p w14:paraId="7D6213A4" w14:textId="79A868D2" w:rsidR="006950CD" w:rsidRPr="001926A5" w:rsidRDefault="00747A7F" w:rsidP="0088376A">
      <w:pPr>
        <w:ind w:leftChars="0" w:left="0" w:firstLineChars="0" w:firstLine="720"/>
      </w:pPr>
      <w:r w:rsidRPr="000E0201">
        <w:rPr>
          <w:i/>
          <w:iCs/>
        </w:rPr>
        <w:t>Questionário para Avaliação da Adesão ao Tratamento Antirretroviral (CEAT-VIH)</w:t>
      </w:r>
      <w:r w:rsidRPr="001926A5">
        <w:t xml:space="preserve">: versão impressa, autoaplicável, com 17 questões, traduzido e adaptado para o português do Brasil. Propõe-se </w:t>
      </w:r>
      <w:r w:rsidR="00983F66">
        <w:t xml:space="preserve">a </w:t>
      </w:r>
      <w:r w:rsidRPr="001926A5">
        <w:t>avaliar o grau de adesão à TARV em pacientes adultos com infecção pelo HIV. É uma ferramenta rápida de ser aplicada e de fácil compreensão, além de apresentar uma adequada confiabilidade (α</w:t>
      </w:r>
      <w:r w:rsidR="00B42F39">
        <w:t xml:space="preserve"> </w:t>
      </w:r>
      <w:r w:rsidRPr="001926A5">
        <w:t>=</w:t>
      </w:r>
      <w:r w:rsidR="00B42F39">
        <w:t xml:space="preserve"> </w:t>
      </w:r>
      <w:r w:rsidRPr="001926A5">
        <w:t xml:space="preserve">0,64) (Remor et al., 2007). Possui caráter multifatorial, propondo-se a dimensionar a observância do tratamento, antecedentes pessoais de não adesão, satisfação com o tratamento, comunicação com o médico, crenças e expectativas sobre o tratamento. O instrumento apresenta uma pontuação total </w:t>
      </w:r>
      <w:proofErr w:type="spellStart"/>
      <w:r w:rsidRPr="001926A5">
        <w:t>unifatorial</w:t>
      </w:r>
      <w:proofErr w:type="spellEnd"/>
      <w:r w:rsidRPr="001926A5">
        <w:t xml:space="preserve"> obtida pela soma das respostas aos 17 itens, sendo o valor mínimo igual a 17 e o máximo 89 pontos, com respostas dadas em escala </w:t>
      </w:r>
      <w:proofErr w:type="spellStart"/>
      <w:r w:rsidRPr="001926A5">
        <w:rPr>
          <w:i/>
        </w:rPr>
        <w:t>Likert</w:t>
      </w:r>
      <w:proofErr w:type="spellEnd"/>
      <w:r w:rsidRPr="001926A5">
        <w:t xml:space="preserve"> de cinco pontos. Quanto maior a pontuação, maior o nível de adesão à TARV (Remor, 2013a; Remor, 2013b; Silva et al., 2019). O seu uso, para esta pesquisa, foi previamente autorizado pelo autor. Assim, foi adotada a versão </w:t>
      </w:r>
      <w:proofErr w:type="spellStart"/>
      <w:r w:rsidRPr="001926A5">
        <w:t>unifatorial</w:t>
      </w:r>
      <w:proofErr w:type="spellEnd"/>
      <w:r w:rsidRPr="001926A5">
        <w:t xml:space="preserve"> da escala, que apresentou uma consistência interna satisfatória na presente amostra (α</w:t>
      </w:r>
      <w:r w:rsidR="00B42F39">
        <w:t xml:space="preserve"> </w:t>
      </w:r>
      <w:r w:rsidRPr="001926A5">
        <w:t>=</w:t>
      </w:r>
      <w:r w:rsidR="00B42F39">
        <w:t xml:space="preserve"> </w:t>
      </w:r>
      <w:r w:rsidRPr="001926A5">
        <w:t xml:space="preserve">0,79). </w:t>
      </w:r>
    </w:p>
    <w:p w14:paraId="369867A3" w14:textId="677D233D" w:rsidR="006950CD" w:rsidRPr="001926A5" w:rsidRDefault="00747A7F" w:rsidP="00A455BF">
      <w:pPr>
        <w:ind w:leftChars="0" w:left="0" w:firstLineChars="0" w:firstLine="720"/>
      </w:pPr>
      <w:r w:rsidRPr="000E0201">
        <w:rPr>
          <w:i/>
          <w:iCs/>
        </w:rPr>
        <w:t>Escala Hospitalar de Ansiedade e Depressão (HAD)</w:t>
      </w:r>
      <w:r w:rsidRPr="001926A5">
        <w:t xml:space="preserve">: instrumento adaptado e validado para o Brasil com 14 itens e respostas em escala </w:t>
      </w:r>
      <w:proofErr w:type="spellStart"/>
      <w:r w:rsidRPr="001926A5">
        <w:rPr>
          <w:i/>
        </w:rPr>
        <w:t>Likert</w:t>
      </w:r>
      <w:proofErr w:type="spellEnd"/>
      <w:r w:rsidRPr="001926A5">
        <w:t xml:space="preserve"> de cinco pontos. É composta por duas </w:t>
      </w:r>
      <w:r w:rsidRPr="00C77558">
        <w:t xml:space="preserve">subescalas, </w:t>
      </w:r>
      <w:r w:rsidR="00E63C29" w:rsidRPr="00C77558">
        <w:t xml:space="preserve">uma </w:t>
      </w:r>
      <w:r w:rsidRPr="00C77558">
        <w:t xml:space="preserve">para ansiedade </w:t>
      </w:r>
      <w:r w:rsidR="00E63C29" w:rsidRPr="00C77558">
        <w:t>a outra para</w:t>
      </w:r>
      <w:r w:rsidRPr="00C77558">
        <w:t xml:space="preserve"> depressão, com </w:t>
      </w:r>
      <w:r w:rsidRPr="001926A5">
        <w:t xml:space="preserve">sete itens cada uma. Quando destinada a avaliar o </w:t>
      </w:r>
      <w:proofErr w:type="spellStart"/>
      <w:r w:rsidRPr="001926A5">
        <w:rPr>
          <w:i/>
        </w:rPr>
        <w:t>distress</w:t>
      </w:r>
      <w:proofErr w:type="spellEnd"/>
      <w:r w:rsidRPr="001926A5">
        <w:t xml:space="preserve">, são considerados os 14 itens, com pontuação que varia de 0 a 42: valor maior ou igual a quinze é indicador de </w:t>
      </w:r>
      <w:proofErr w:type="spellStart"/>
      <w:r w:rsidRPr="001926A5">
        <w:rPr>
          <w:i/>
        </w:rPr>
        <w:t>distres</w:t>
      </w:r>
      <w:r w:rsidRPr="001926A5">
        <w:t>s</w:t>
      </w:r>
      <w:proofErr w:type="spellEnd"/>
      <w:r w:rsidRPr="001926A5">
        <w:t xml:space="preserve"> (Botega et al.,1995; </w:t>
      </w:r>
      <w:proofErr w:type="spellStart"/>
      <w:r w:rsidRPr="001926A5">
        <w:t>Luckett</w:t>
      </w:r>
      <w:proofErr w:type="spellEnd"/>
      <w:r w:rsidRPr="001926A5">
        <w:t xml:space="preserve"> et al., 2010). O alfa de </w:t>
      </w:r>
      <w:proofErr w:type="spellStart"/>
      <w:r w:rsidRPr="001926A5">
        <w:t>Cronbach</w:t>
      </w:r>
      <w:proofErr w:type="spellEnd"/>
      <w:r w:rsidRPr="001926A5">
        <w:t xml:space="preserve"> na amostra do presente estudo, na versão </w:t>
      </w:r>
      <w:proofErr w:type="spellStart"/>
      <w:r w:rsidRPr="001926A5">
        <w:t>unifatorial</w:t>
      </w:r>
      <w:proofErr w:type="spellEnd"/>
      <w:r w:rsidRPr="001926A5">
        <w:t xml:space="preserve">, foi igual a 0,87. </w:t>
      </w:r>
    </w:p>
    <w:p w14:paraId="0FCCAD69" w14:textId="6806BFF6" w:rsidR="006950CD" w:rsidRPr="001926A5" w:rsidRDefault="00747A7F" w:rsidP="00A455BF">
      <w:pPr>
        <w:ind w:leftChars="0" w:left="0" w:firstLineChars="0" w:firstLine="720"/>
      </w:pPr>
      <w:r w:rsidRPr="000E0201">
        <w:rPr>
          <w:i/>
          <w:iCs/>
        </w:rPr>
        <w:t>Indicador de Risco Psicológico (IRP)</w:t>
      </w:r>
      <w:r w:rsidRPr="001926A5">
        <w:t xml:space="preserve">: instrumento de triagem psicológica, com evidências de validade para pacientes brasileiros acima de 18 anos, diagnosticados com câncer e que podem apresentar risco de má adaptação psicológica ao processo de adoecimento. Possui </w:t>
      </w:r>
      <w:r w:rsidRPr="001926A5">
        <w:lastRenderedPageBreak/>
        <w:t xml:space="preserve">27 itens que se propõem a avaliar o </w:t>
      </w:r>
      <w:r w:rsidRPr="00C77558">
        <w:t xml:space="preserve">nível de prejuízo dos fatores: </w:t>
      </w:r>
      <w:r w:rsidR="0098223D" w:rsidRPr="00C77558">
        <w:t>(a</w:t>
      </w:r>
      <w:r w:rsidR="009F7B34" w:rsidRPr="00C77558">
        <w:t xml:space="preserve">) </w:t>
      </w:r>
      <w:r w:rsidRPr="00C77558">
        <w:t xml:space="preserve">percepção de doença, </w:t>
      </w:r>
      <w:r w:rsidR="0098223D" w:rsidRPr="00C77558">
        <w:t>(b</w:t>
      </w:r>
      <w:r w:rsidR="009F7B34" w:rsidRPr="00C77558">
        <w:t xml:space="preserve">) </w:t>
      </w:r>
      <w:r w:rsidRPr="00C77558">
        <w:t xml:space="preserve">suporte social emocional, </w:t>
      </w:r>
      <w:r w:rsidR="0098223D" w:rsidRPr="00C77558">
        <w:t>(c</w:t>
      </w:r>
      <w:r w:rsidR="009F7B34" w:rsidRPr="00C77558">
        <w:t xml:space="preserve">) </w:t>
      </w:r>
      <w:r w:rsidRPr="00C77558">
        <w:t xml:space="preserve">suporte social instrumental, </w:t>
      </w:r>
      <w:r w:rsidR="0098223D" w:rsidRPr="00C77558">
        <w:t>(d</w:t>
      </w:r>
      <w:r w:rsidR="009F7B34" w:rsidRPr="00C77558">
        <w:t xml:space="preserve">) </w:t>
      </w:r>
      <w:r w:rsidRPr="00C77558">
        <w:t xml:space="preserve">enfrentamento ativo e </w:t>
      </w:r>
      <w:r w:rsidR="0098223D" w:rsidRPr="00C77558">
        <w:t>(e</w:t>
      </w:r>
      <w:r w:rsidR="009F7B34" w:rsidRPr="00C77558">
        <w:t xml:space="preserve">) </w:t>
      </w:r>
      <w:proofErr w:type="spellStart"/>
      <w:r w:rsidRPr="00C77558">
        <w:rPr>
          <w:i/>
        </w:rPr>
        <w:t>distress</w:t>
      </w:r>
      <w:proofErr w:type="spellEnd"/>
      <w:r w:rsidRPr="00C77558">
        <w:t xml:space="preserve">. Utiliza escala </w:t>
      </w:r>
      <w:proofErr w:type="spellStart"/>
      <w:r w:rsidRPr="00C77558">
        <w:rPr>
          <w:i/>
        </w:rPr>
        <w:t>Likert</w:t>
      </w:r>
      <w:proofErr w:type="spellEnd"/>
      <w:r w:rsidRPr="00C77558">
        <w:t xml:space="preserve"> de cinco pontos, apresenta </w:t>
      </w:r>
      <w:r w:rsidRPr="001926A5">
        <w:t>ponto de corte ou Índice Geral de Risco (IGR) igual a 55 para pacientes oncológicos, podendo variar de 27 a 135. Ademais, o IRP apresentou um bom índice de confiabilidade (α</w:t>
      </w:r>
      <w:r w:rsidR="0098223D">
        <w:t xml:space="preserve"> </w:t>
      </w:r>
      <w:r w:rsidRPr="001926A5">
        <w:t>=</w:t>
      </w:r>
      <w:r w:rsidR="0098223D">
        <w:t xml:space="preserve"> </w:t>
      </w:r>
      <w:r w:rsidRPr="001926A5">
        <w:t>0,90) (Souza et al., 2023). Para o estudo, esse instrumento foi escolhido por fazer uso de construtos que também podem ser observados em pesquisas com PVHIV sobre ajustamento e risco de não adaptação (</w:t>
      </w:r>
      <w:proofErr w:type="spellStart"/>
      <w:r w:rsidRPr="001926A5">
        <w:t>Bonolo</w:t>
      </w:r>
      <w:proofErr w:type="spellEnd"/>
      <w:r w:rsidRPr="001926A5">
        <w:t xml:space="preserve"> et al., 2007; </w:t>
      </w:r>
      <w:r w:rsidR="009D1AE0" w:rsidRPr="009D1AE0">
        <w:t>Ministério da Saúde</w:t>
      </w:r>
      <w:r w:rsidRPr="001926A5">
        <w:t xml:space="preserve">, 2008; Nogueira &amp; Seidl, 2016). O alfa de </w:t>
      </w:r>
      <w:proofErr w:type="spellStart"/>
      <w:r w:rsidRPr="001926A5">
        <w:t>Cronbach</w:t>
      </w:r>
      <w:proofErr w:type="spellEnd"/>
      <w:r w:rsidRPr="001926A5">
        <w:t xml:space="preserve"> na presente amostra foi de 0,90, igual ao do estudo de evidências de validade (Souza et al., 2023). Foi adotada a versão </w:t>
      </w:r>
      <w:proofErr w:type="spellStart"/>
      <w:r w:rsidRPr="001926A5">
        <w:t>unifatorial</w:t>
      </w:r>
      <w:proofErr w:type="spellEnd"/>
      <w:r w:rsidRPr="001926A5">
        <w:t xml:space="preserve"> da escala. </w:t>
      </w:r>
    </w:p>
    <w:p w14:paraId="3A255CC7" w14:textId="77777777" w:rsidR="006950CD" w:rsidRPr="001926A5" w:rsidRDefault="00747A7F">
      <w:pPr>
        <w:ind w:left="0" w:hanging="2"/>
      </w:pPr>
      <w:r w:rsidRPr="001926A5">
        <w:rPr>
          <w:b/>
        </w:rPr>
        <w:t>Procedimento de Coleta de Dados</w:t>
      </w:r>
    </w:p>
    <w:p w14:paraId="46650AA5" w14:textId="58106F50" w:rsidR="006950CD" w:rsidRPr="001926A5" w:rsidRDefault="00747A7F" w:rsidP="00A455BF">
      <w:pPr>
        <w:ind w:leftChars="0" w:left="0" w:firstLineChars="0" w:firstLine="720"/>
      </w:pPr>
      <w:r w:rsidRPr="001926A5">
        <w:t xml:space="preserve">Após as aprovações do projeto pelo Comitê de Ética em Pesquisa em Ciências Humanas e Sociais da Universidade de Brasília – CEP/CHS-UnB (Parecer 4.404.870) e pelo Comitê de Ética em Pesquisa do HDT– CEP/HDT (Parecer 4.490.587), foi realizado o estudo piloto com seis participantes que estavam aguardando por exames, consultas ou internados, considerando os critérios de inclusão e exclusão. Após o estudo piloto, foi iniciada a coleta definitiva com os ajustes necessários efetuados apenas no questionário sociodemográfico. </w:t>
      </w:r>
    </w:p>
    <w:p w14:paraId="2D56394E" w14:textId="1D66070F" w:rsidR="006950CD" w:rsidRDefault="00747A7F" w:rsidP="00A455BF">
      <w:pPr>
        <w:ind w:leftChars="0" w:left="0" w:firstLineChars="0" w:firstLine="720"/>
      </w:pPr>
      <w:r w:rsidRPr="00E7296D">
        <w:t xml:space="preserve">Os participantes foram convidados </w:t>
      </w:r>
      <w:r w:rsidR="00DC5CA3" w:rsidRPr="00C256D2">
        <w:t>a</w:t>
      </w:r>
      <w:r w:rsidR="00DC5CA3" w:rsidRPr="00E7296D">
        <w:t xml:space="preserve"> participar do estudo quando estavam no serviço de saúde por motivos diversos: </w:t>
      </w:r>
      <w:r w:rsidR="003970E0" w:rsidRPr="00E7296D">
        <w:t xml:space="preserve">realização de </w:t>
      </w:r>
      <w:r w:rsidR="00DC5CA3" w:rsidRPr="00E7296D">
        <w:t>consultas</w:t>
      </w:r>
      <w:r w:rsidRPr="00E7296D">
        <w:t xml:space="preserve"> médicas ou psicossociais, realização de exames, retirada de medicamentos na farmácia, entre outr</w:t>
      </w:r>
      <w:r w:rsidR="00E703FA" w:rsidRPr="00E7296D">
        <w:t>o</w:t>
      </w:r>
      <w:r w:rsidRPr="00E7296D">
        <w:t xml:space="preserve">s. </w:t>
      </w:r>
      <w:r w:rsidRPr="001926A5">
        <w:t xml:space="preserve">A aplicação presencial dos instrumentos, em versão impressa, teve duração média de 40 minutos e foram apresentados na seguinte ordem: questionário sociodemográfico, questionário médico-clínico, HAD, IRP e CEAT-VIH. Foram </w:t>
      </w:r>
      <w:proofErr w:type="spellStart"/>
      <w:r w:rsidRPr="001926A5">
        <w:t>autoaplicados</w:t>
      </w:r>
      <w:proofErr w:type="spellEnd"/>
      <w:r w:rsidRPr="001926A5">
        <w:t xml:space="preserve"> ou contaram com o auxílio da pesquisadora ou de estudantes de graduação auxiliares de pesquisa devidamente treinados. Houve consulta aos prontuários do </w:t>
      </w:r>
      <w:r w:rsidRPr="001926A5">
        <w:lastRenderedPageBreak/>
        <w:t>participante para a coleta de marcadores biológicos, como exames recentes de contagem de células T CD4/CD8 e carga viral.</w:t>
      </w:r>
    </w:p>
    <w:p w14:paraId="5FE12540" w14:textId="77777777" w:rsidR="006950CD" w:rsidRPr="001926A5" w:rsidRDefault="00747A7F" w:rsidP="000E0201">
      <w:pPr>
        <w:ind w:leftChars="0" w:left="0" w:firstLineChars="0" w:firstLine="0"/>
      </w:pPr>
      <w:r w:rsidRPr="001926A5">
        <w:rPr>
          <w:b/>
        </w:rPr>
        <w:t>Análise de Dados</w:t>
      </w:r>
    </w:p>
    <w:p w14:paraId="5B5EDFC4" w14:textId="4BD101C0" w:rsidR="006950CD" w:rsidRPr="001926A5" w:rsidRDefault="00747A7F" w:rsidP="00A455BF">
      <w:pPr>
        <w:ind w:leftChars="0" w:left="0" w:firstLineChars="0" w:firstLine="720"/>
      </w:pPr>
      <w:r w:rsidRPr="001926A5">
        <w:t>Com suporte do pacote estatístico SPSS (</w:t>
      </w:r>
      <w:proofErr w:type="spellStart"/>
      <w:r w:rsidRPr="001926A5">
        <w:rPr>
          <w:i/>
        </w:rPr>
        <w:t>Statistical</w:t>
      </w:r>
      <w:proofErr w:type="spellEnd"/>
      <w:r w:rsidRPr="001926A5">
        <w:rPr>
          <w:i/>
        </w:rPr>
        <w:t xml:space="preserve"> </w:t>
      </w:r>
      <w:proofErr w:type="spellStart"/>
      <w:r w:rsidRPr="001926A5">
        <w:rPr>
          <w:i/>
        </w:rPr>
        <w:t>Package</w:t>
      </w:r>
      <w:proofErr w:type="spellEnd"/>
      <w:r w:rsidRPr="001926A5">
        <w:rPr>
          <w:i/>
        </w:rPr>
        <w:t xml:space="preserve"> for Social </w:t>
      </w:r>
      <w:proofErr w:type="spellStart"/>
      <w:r w:rsidRPr="001926A5">
        <w:rPr>
          <w:i/>
        </w:rPr>
        <w:t>Sciences</w:t>
      </w:r>
      <w:proofErr w:type="spellEnd"/>
      <w:r w:rsidRPr="001926A5">
        <w:t xml:space="preserve">) versão 20, foram realizadas as análises descritivas (média, desvio-padrão, mediana, assimetria, curtose, valores máximo e mínimo) das variáveis contínuas sociodemográficas e clínicas, adesão, </w:t>
      </w:r>
      <w:proofErr w:type="spellStart"/>
      <w:r w:rsidRPr="001926A5">
        <w:rPr>
          <w:i/>
        </w:rPr>
        <w:t>distress</w:t>
      </w:r>
      <w:proofErr w:type="spellEnd"/>
      <w:r w:rsidRPr="001926A5">
        <w:t xml:space="preserve"> e do IRP. As variáveis categóricas foram analisadas quanto à frequência e proporção. A consistência interna das escalas CEAT-VIH, HAD e IRP foi analisada pelo Alfa de </w:t>
      </w:r>
      <w:proofErr w:type="spellStart"/>
      <w:r w:rsidRPr="001926A5">
        <w:t>Cronbach</w:t>
      </w:r>
      <w:proofErr w:type="spellEnd"/>
      <w:r w:rsidRPr="001926A5">
        <w:t>.</w:t>
      </w:r>
      <w:r w:rsidR="001F68F3">
        <w:t xml:space="preserve"> </w:t>
      </w:r>
    </w:p>
    <w:p w14:paraId="61BB4209" w14:textId="7CB94EE7" w:rsidR="006950CD" w:rsidRPr="001926A5" w:rsidRDefault="00747A7F" w:rsidP="00A455BF">
      <w:pPr>
        <w:ind w:leftChars="0" w:left="0" w:firstLineChars="0" w:firstLine="720"/>
      </w:pPr>
      <w:r w:rsidRPr="001926A5">
        <w:t xml:space="preserve">A análise exploratória de dados teve por objetivo verificar a adequação das variáveis contínuas principais </w:t>
      </w:r>
      <w:r w:rsidRPr="00BB2351">
        <w:t xml:space="preserve">da pesquisa </w:t>
      </w:r>
      <w:r w:rsidR="00B301C8" w:rsidRPr="00487DF1">
        <w:t xml:space="preserve">em relação </w:t>
      </w:r>
      <w:r w:rsidRPr="00BB2351">
        <w:t xml:space="preserve">aos pressupostos </w:t>
      </w:r>
      <w:r w:rsidRPr="001926A5">
        <w:t xml:space="preserve">para análises multivariadas. A normalidade da distribuição das variáveis critério (adesão) e das preditoras contínuas foi explorada com base nos histogramas, dados de dispersão, de assimetrias e curtose, bem como pelos testes </w:t>
      </w:r>
      <w:proofErr w:type="spellStart"/>
      <w:r w:rsidRPr="001926A5">
        <w:t>Kolmogorov-Smirnov</w:t>
      </w:r>
      <w:proofErr w:type="spellEnd"/>
      <w:r w:rsidRPr="001926A5">
        <w:t xml:space="preserve"> e Shapiro-</w:t>
      </w:r>
      <w:proofErr w:type="spellStart"/>
      <w:r w:rsidRPr="001926A5">
        <w:t>Wilk</w:t>
      </w:r>
      <w:proofErr w:type="spellEnd"/>
      <w:r w:rsidRPr="001926A5">
        <w:t xml:space="preserve">. Análises bivariadas não paramétricas foram realizadas para identificar níveis de associação ou de correlação, mediante o uso de técnicas estatísticas adequadas ao tipo de variável (contínuas ou categóricas). O nível de significância de 5% foi adotado no estudo. </w:t>
      </w:r>
    </w:p>
    <w:p w14:paraId="02D41962" w14:textId="0E113BF1" w:rsidR="003970E0" w:rsidRPr="003970E0" w:rsidRDefault="00747A7F" w:rsidP="003970E0">
      <w:pPr>
        <w:ind w:leftChars="0" w:left="0" w:firstLineChars="0" w:firstLine="720"/>
      </w:pPr>
      <w:r w:rsidRPr="001926A5">
        <w:t xml:space="preserve">Realizou-se uma análise de regressão linear múltipla, método </w:t>
      </w:r>
      <w:proofErr w:type="spellStart"/>
      <w:r w:rsidRPr="001926A5">
        <w:rPr>
          <w:i/>
        </w:rPr>
        <w:t>forward</w:t>
      </w:r>
      <w:proofErr w:type="spellEnd"/>
      <w:r w:rsidRPr="001926A5">
        <w:t xml:space="preserve">, para identificação dos preditores da adesão ao tratamento antirretroviral. Matrizes de correlação entre as variáveis antecedentes mostraram a ausência de singularidade e de </w:t>
      </w:r>
      <w:proofErr w:type="spellStart"/>
      <w:r w:rsidRPr="001926A5">
        <w:t>multicolinearidade</w:t>
      </w:r>
      <w:proofErr w:type="spellEnd"/>
      <w:r w:rsidRPr="001926A5">
        <w:t>. Para a identificação dos casos discrepantes multivariados</w:t>
      </w:r>
      <w:r w:rsidR="00CD4ABD">
        <w:t>,</w:t>
      </w:r>
      <w:r w:rsidRPr="001926A5">
        <w:t xml:space="preserve"> foram feitos cálculos de valores da distância </w:t>
      </w:r>
      <w:proofErr w:type="spellStart"/>
      <w:r w:rsidRPr="00BB2351">
        <w:t>Mahalanobis</w:t>
      </w:r>
      <w:proofErr w:type="spellEnd"/>
      <w:r w:rsidRPr="00BB2351">
        <w:t xml:space="preserve"> e de </w:t>
      </w:r>
      <w:proofErr w:type="spellStart"/>
      <w:r w:rsidRPr="00BB2351">
        <w:t>Cook's</w:t>
      </w:r>
      <w:proofErr w:type="spellEnd"/>
      <w:r w:rsidRPr="00BB2351">
        <w:t xml:space="preserve">. </w:t>
      </w:r>
      <w:r w:rsidR="00CD4ABD" w:rsidRPr="00487DF1">
        <w:t>Como variáveis antecedentes, o</w:t>
      </w:r>
      <w:r w:rsidRPr="00487DF1">
        <w:t xml:space="preserve">ptou-se por introduzir </w:t>
      </w:r>
      <w:r w:rsidRPr="00BB2351">
        <w:t>no modelo de regressão aquelas que ti</w:t>
      </w:r>
      <w:r w:rsidR="00EA1BDE" w:rsidRPr="00BB2351">
        <w:t xml:space="preserve">veram associação significativa </w:t>
      </w:r>
      <w:r w:rsidRPr="00BB2351">
        <w:t>(</w:t>
      </w:r>
      <w:r w:rsidRPr="00BB2351">
        <w:rPr>
          <w:i/>
        </w:rPr>
        <w:t>p</w:t>
      </w:r>
      <w:sdt>
        <w:sdtPr>
          <w:tag w:val="goog_rdk_0"/>
          <w:id w:val="1052886206"/>
        </w:sdtPr>
        <w:sdtEndPr/>
        <w:sdtContent>
          <w:r w:rsidRPr="00BB2351">
            <w:t xml:space="preserve"> ≤ 0,05) </w:t>
          </w:r>
        </w:sdtContent>
      </w:sdt>
      <w:r w:rsidR="001F6076" w:rsidRPr="00BB2351">
        <w:t>com adesão ao tratamento, com base nos resultados das análises bivariadas</w:t>
      </w:r>
      <w:r w:rsidR="00192832" w:rsidRPr="00BB2351">
        <w:t xml:space="preserve">. </w:t>
      </w:r>
      <w:r w:rsidR="003970E0" w:rsidRPr="00487DF1">
        <w:t xml:space="preserve">Conforme </w:t>
      </w:r>
      <w:proofErr w:type="spellStart"/>
      <w:r w:rsidR="003970E0" w:rsidRPr="00487DF1">
        <w:t>Tabachnick</w:t>
      </w:r>
      <w:proofErr w:type="spellEnd"/>
      <w:r w:rsidR="003970E0" w:rsidRPr="00487DF1">
        <w:t xml:space="preserve"> e </w:t>
      </w:r>
      <w:proofErr w:type="spellStart"/>
      <w:r w:rsidR="003970E0" w:rsidRPr="00487DF1">
        <w:t>Fidell</w:t>
      </w:r>
      <w:proofErr w:type="spellEnd"/>
      <w:r w:rsidR="003970E0" w:rsidRPr="00487DF1">
        <w:t xml:space="preserve"> </w:t>
      </w:r>
      <w:r w:rsidR="003970E0" w:rsidRPr="00487DF1">
        <w:lastRenderedPageBreak/>
        <w:t>(2018), a fórmula geral para definição do tamanho da amostra é N ≥ 50 + 4m, em que m representa o número de variáveis antecedentes (neste caso, 4), resultando em N ≥ 66</w:t>
      </w:r>
      <w:r w:rsidR="00A70595" w:rsidRPr="00487DF1">
        <w:t>. Assim,</w:t>
      </w:r>
      <w:r w:rsidR="003970E0" w:rsidRPr="00487DF1">
        <w:t xml:space="preserve"> </w:t>
      </w:r>
      <w:r w:rsidR="00A70595" w:rsidRPr="00487DF1">
        <w:t xml:space="preserve">com </w:t>
      </w:r>
      <w:r w:rsidR="003970E0" w:rsidRPr="00487DF1">
        <w:t>130 participantes</w:t>
      </w:r>
      <w:r w:rsidR="00BB2351">
        <w:t>,</w:t>
      </w:r>
      <w:r w:rsidR="003970E0" w:rsidRPr="00487DF1">
        <w:t xml:space="preserve"> a amostra foi numericamente adequada para a realização das análises propostas. </w:t>
      </w:r>
    </w:p>
    <w:p w14:paraId="4660E7C3" w14:textId="35E17930" w:rsidR="006950CD" w:rsidRPr="001926A5" w:rsidRDefault="00747A7F" w:rsidP="008555C4">
      <w:pPr>
        <w:ind w:left="0" w:hanging="2"/>
        <w:jc w:val="center"/>
      </w:pPr>
      <w:r w:rsidRPr="001926A5">
        <w:rPr>
          <w:b/>
        </w:rPr>
        <w:t>Resultados</w:t>
      </w:r>
    </w:p>
    <w:p w14:paraId="0EA8100A" w14:textId="77777777" w:rsidR="006950CD" w:rsidRPr="001926A5" w:rsidRDefault="00747A7F">
      <w:pPr>
        <w:ind w:left="0" w:hanging="2"/>
      </w:pPr>
      <w:r w:rsidRPr="001926A5">
        <w:rPr>
          <w:b/>
        </w:rPr>
        <w:t xml:space="preserve">Adesão, </w:t>
      </w:r>
      <w:proofErr w:type="spellStart"/>
      <w:r w:rsidRPr="001926A5">
        <w:rPr>
          <w:b/>
          <w:i/>
        </w:rPr>
        <w:t>Distress</w:t>
      </w:r>
      <w:proofErr w:type="spellEnd"/>
      <w:r w:rsidRPr="001926A5">
        <w:rPr>
          <w:b/>
        </w:rPr>
        <w:t xml:space="preserve"> e Risco Psicológico: Análises Descritivas </w:t>
      </w:r>
    </w:p>
    <w:p w14:paraId="607C0E32" w14:textId="59558F27" w:rsidR="006950CD" w:rsidRPr="001926A5" w:rsidRDefault="00747A7F" w:rsidP="00A455BF">
      <w:pPr>
        <w:ind w:leftChars="0" w:left="0" w:firstLineChars="0" w:firstLine="720"/>
      </w:pPr>
      <w:r w:rsidRPr="001926A5">
        <w:t>O escore médio da variável adesão ao tratamento foi igual a 75,05 (</w:t>
      </w:r>
      <w:r w:rsidRPr="001926A5">
        <w:rPr>
          <w:i/>
        </w:rPr>
        <w:t>DP</w:t>
      </w:r>
      <w:r w:rsidR="00F04562">
        <w:rPr>
          <w:i/>
        </w:rPr>
        <w:t xml:space="preserve"> </w:t>
      </w:r>
      <w:r w:rsidRPr="001926A5">
        <w:t xml:space="preserve">= 7,77; </w:t>
      </w:r>
      <w:proofErr w:type="spellStart"/>
      <w:r w:rsidRPr="001926A5">
        <w:rPr>
          <w:i/>
        </w:rPr>
        <w:t>Mdn</w:t>
      </w:r>
      <w:proofErr w:type="spellEnd"/>
      <w:r w:rsidR="00BF1195">
        <w:rPr>
          <w:i/>
        </w:rPr>
        <w:t xml:space="preserve"> </w:t>
      </w:r>
      <w:r w:rsidRPr="001926A5">
        <w:t>= 77; mínimo= 41; máximo= 85). Tomando por base estudos anteriores com o CEAT-VIH que usaram o percentil como parâmetro para definição do ponto de corte, optou-se por considerar o percentil 75 (equivalente ao escore bruto igual a 80), tendo em vista que 80 foi o valor da moda da amostra com um total de 15 casos. Essa variável foi explorada também mediante sua dicotomização, de modo que os escores foram categorizados em dois níveis, conforme Seidl e Remor (2020): escores brutos iguais ou superiores a 80, obtidos por 41 participantes (</w:t>
      </w:r>
      <w:r w:rsidRPr="008D6B69">
        <w:t>31,5</w:t>
      </w:r>
      <w:r w:rsidR="008D6B69" w:rsidRPr="008D6B69">
        <w:t>0</w:t>
      </w:r>
      <w:r w:rsidRPr="008D6B69">
        <w:t>%), classificados como adesão estrita; escores iguais ou menores que 79, obtidos por 89 pessoas (68,5</w:t>
      </w:r>
      <w:r w:rsidR="008D6B69" w:rsidRPr="008D6B69">
        <w:t>0</w:t>
      </w:r>
      <w:r w:rsidRPr="008D6B69">
        <w:t>%), com adesão insuficiente (não estrita).</w:t>
      </w:r>
      <w:r w:rsidRPr="001926A5">
        <w:t xml:space="preserve"> </w:t>
      </w:r>
    </w:p>
    <w:p w14:paraId="123987B5" w14:textId="5C1DB4FE" w:rsidR="006950CD" w:rsidRPr="001926A5" w:rsidRDefault="00747A7F" w:rsidP="00A455BF">
      <w:pPr>
        <w:ind w:leftChars="0" w:left="0" w:firstLineChars="0" w:firstLine="720"/>
      </w:pPr>
      <w:r w:rsidRPr="001926A5">
        <w:t xml:space="preserve">Referente à variável </w:t>
      </w:r>
      <w:proofErr w:type="spellStart"/>
      <w:r w:rsidRPr="001926A5">
        <w:rPr>
          <w:i/>
        </w:rPr>
        <w:t>distress</w:t>
      </w:r>
      <w:proofErr w:type="spellEnd"/>
      <w:r w:rsidRPr="001926A5">
        <w:t>, as análises descritivas apresentaram escores médios iguais a 14,48 (</w:t>
      </w:r>
      <w:r w:rsidRPr="001926A5">
        <w:rPr>
          <w:i/>
        </w:rPr>
        <w:t>DP</w:t>
      </w:r>
      <w:r w:rsidR="00BF1195">
        <w:rPr>
          <w:i/>
        </w:rPr>
        <w:t xml:space="preserve"> </w:t>
      </w:r>
      <w:r w:rsidRPr="001926A5">
        <w:t xml:space="preserve">= 8,48; </w:t>
      </w:r>
      <w:proofErr w:type="spellStart"/>
      <w:r w:rsidRPr="001926A5">
        <w:rPr>
          <w:i/>
        </w:rPr>
        <w:t>Mdn</w:t>
      </w:r>
      <w:proofErr w:type="spellEnd"/>
      <w:r w:rsidR="00BF1195">
        <w:rPr>
          <w:i/>
        </w:rPr>
        <w:t xml:space="preserve"> </w:t>
      </w:r>
      <w:r w:rsidRPr="001926A5">
        <w:t>= 14; mínimo</w:t>
      </w:r>
      <w:r w:rsidR="00BF1195">
        <w:t xml:space="preserve"> </w:t>
      </w:r>
      <w:r w:rsidRPr="001926A5">
        <w:t>= 0; máximo</w:t>
      </w:r>
      <w:r w:rsidR="00BF1195">
        <w:t xml:space="preserve"> </w:t>
      </w:r>
      <w:r w:rsidRPr="001926A5">
        <w:t xml:space="preserve">= 35). Estes dados revelaram que o escore médio esteve no limiar para o indicador de </w:t>
      </w:r>
      <w:proofErr w:type="spellStart"/>
      <w:r w:rsidRPr="001926A5">
        <w:rPr>
          <w:i/>
        </w:rPr>
        <w:t>distress</w:t>
      </w:r>
      <w:proofErr w:type="spellEnd"/>
      <w:r w:rsidRPr="001926A5">
        <w:t xml:space="preserve">, uma vez que se utilizou o valor maior ou igual a 15 como ponto </w:t>
      </w:r>
      <w:r w:rsidRPr="00BB2351">
        <w:t xml:space="preserve">de corte para </w:t>
      </w:r>
      <w:proofErr w:type="spellStart"/>
      <w:r w:rsidRPr="00BB2351">
        <w:rPr>
          <w:i/>
        </w:rPr>
        <w:t>distress</w:t>
      </w:r>
      <w:proofErr w:type="spellEnd"/>
      <w:r w:rsidRPr="00BB2351">
        <w:t>, tal como</w:t>
      </w:r>
      <w:r w:rsidR="008D6B69" w:rsidRPr="00BB2351">
        <w:t xml:space="preserve"> recomendado no artigo </w:t>
      </w:r>
      <w:r w:rsidRPr="00BB2351">
        <w:t xml:space="preserve">que </w:t>
      </w:r>
      <w:r w:rsidR="008D6B69" w:rsidRPr="00BB2351">
        <w:t xml:space="preserve">propôs os valores da </w:t>
      </w:r>
      <w:r w:rsidRPr="00BB2351">
        <w:t xml:space="preserve">versão </w:t>
      </w:r>
      <w:proofErr w:type="spellStart"/>
      <w:r w:rsidRPr="00BB2351">
        <w:t>unifatorial</w:t>
      </w:r>
      <w:proofErr w:type="spellEnd"/>
      <w:r w:rsidRPr="00BB2351">
        <w:t xml:space="preserve"> da HAD </w:t>
      </w:r>
      <w:r w:rsidR="008D6B69" w:rsidRPr="00BB2351">
        <w:t xml:space="preserve">como medida do </w:t>
      </w:r>
      <w:proofErr w:type="spellStart"/>
      <w:r w:rsidR="008D6B69" w:rsidRPr="00BB2351">
        <w:rPr>
          <w:i/>
        </w:rPr>
        <w:t>distress</w:t>
      </w:r>
      <w:proofErr w:type="spellEnd"/>
      <w:r w:rsidR="008D6B69" w:rsidRPr="00BB2351">
        <w:rPr>
          <w:i/>
        </w:rPr>
        <w:t xml:space="preserve">, </w:t>
      </w:r>
      <w:r w:rsidR="00E703FA" w:rsidRPr="00BB2351">
        <w:t>aspecto</w:t>
      </w:r>
      <w:r w:rsidR="008D6B69" w:rsidRPr="00BB2351">
        <w:t xml:space="preserve"> explicitado na seção Instrumentos </w:t>
      </w:r>
      <w:r w:rsidRPr="00BB2351">
        <w:t>(</w:t>
      </w:r>
      <w:proofErr w:type="spellStart"/>
      <w:r w:rsidRPr="00BB2351">
        <w:t>Luckett</w:t>
      </w:r>
      <w:proofErr w:type="spellEnd"/>
      <w:r w:rsidRPr="00BB2351">
        <w:t xml:space="preserve"> et al., 2010). </w:t>
      </w:r>
    </w:p>
    <w:p w14:paraId="4417E1AD" w14:textId="3ED83D5B" w:rsidR="006950CD" w:rsidRPr="001926A5" w:rsidRDefault="00747A7F" w:rsidP="00A455BF">
      <w:pPr>
        <w:ind w:leftChars="0" w:left="0" w:firstLineChars="0" w:firstLine="720"/>
      </w:pPr>
      <w:r w:rsidRPr="001926A5">
        <w:t>Para a variável risco psicológico de não ajustamento, o escore médio do IRP foi de 66,41 (</w:t>
      </w:r>
      <w:r w:rsidRPr="001926A5">
        <w:rPr>
          <w:i/>
        </w:rPr>
        <w:t>DP</w:t>
      </w:r>
      <w:r w:rsidR="00BF1195">
        <w:rPr>
          <w:i/>
        </w:rPr>
        <w:t xml:space="preserve"> </w:t>
      </w:r>
      <w:r w:rsidRPr="001926A5">
        <w:t>=</w:t>
      </w:r>
      <w:r w:rsidR="00BB2351">
        <w:t xml:space="preserve"> </w:t>
      </w:r>
      <w:r w:rsidRPr="001926A5">
        <w:t xml:space="preserve">19,72; </w:t>
      </w:r>
      <w:proofErr w:type="spellStart"/>
      <w:r w:rsidRPr="001926A5">
        <w:rPr>
          <w:i/>
        </w:rPr>
        <w:t>Mdn</w:t>
      </w:r>
      <w:proofErr w:type="spellEnd"/>
      <w:r w:rsidR="00BF1195">
        <w:rPr>
          <w:i/>
        </w:rPr>
        <w:t xml:space="preserve"> </w:t>
      </w:r>
      <w:r w:rsidRPr="001926A5">
        <w:t>=</w:t>
      </w:r>
      <w:r w:rsidR="00BF1195">
        <w:t xml:space="preserve"> </w:t>
      </w:r>
      <w:r w:rsidRPr="001926A5">
        <w:t>67; mínimo</w:t>
      </w:r>
      <w:r w:rsidR="00BF1195">
        <w:t xml:space="preserve"> </w:t>
      </w:r>
      <w:r w:rsidRPr="001926A5">
        <w:t>= 31; máximo</w:t>
      </w:r>
      <w:r w:rsidR="00BF1195">
        <w:t xml:space="preserve"> </w:t>
      </w:r>
      <w:r w:rsidRPr="001926A5">
        <w:t xml:space="preserve">= 119), indicando um índice médio de risco psicológico moderadamente elevado, visto que para o estudo de construção do </w:t>
      </w:r>
      <w:r w:rsidRPr="001926A5">
        <w:lastRenderedPageBreak/>
        <w:t xml:space="preserve">instrumento, o ponto de corte estabelecido foi de 55 para pacientes oncológicos (Souza et al., 2023). Assim, os escores revelaram um índice de risco relativamente alto de má adaptação psicológica ao processo de adoecimento para parte da amostra. Destaca-se, contudo, que houve grande variabilidade dos escores indicados pelos valores máximo e mínimo e pelo desvio-padrão elevado. </w:t>
      </w:r>
    </w:p>
    <w:p w14:paraId="63398928" w14:textId="3DA9DC63" w:rsidR="006950CD" w:rsidRPr="001926A5" w:rsidRDefault="00747A7F">
      <w:pPr>
        <w:ind w:left="0" w:hanging="2"/>
      </w:pPr>
      <w:r w:rsidRPr="001926A5">
        <w:rPr>
          <w:b/>
        </w:rPr>
        <w:t>Análises Bivariadas Preliminares</w:t>
      </w:r>
      <w:r w:rsidR="001F68F3">
        <w:rPr>
          <w:b/>
        </w:rPr>
        <w:t xml:space="preserve"> </w:t>
      </w:r>
    </w:p>
    <w:p w14:paraId="314F9F2B" w14:textId="1D68A9F2" w:rsidR="006950CD" w:rsidRPr="001926A5" w:rsidRDefault="00747A7F" w:rsidP="00A455BF">
      <w:pPr>
        <w:ind w:leftChars="0" w:left="0" w:firstLineChars="0" w:firstLine="720"/>
      </w:pPr>
      <w:r w:rsidRPr="001926A5">
        <w:t xml:space="preserve">Primeiramente, os pressupostos de normalidade da distribuição foram examinados nas três </w:t>
      </w:r>
      <w:r w:rsidRPr="00BB2351">
        <w:t>variáveis contínuas principais do estudo, sendo que em todas houve violação da normalidade. A análise incluiu também dados de dispersão, assimetrias e curtoses</w:t>
      </w:r>
      <w:r w:rsidR="00CF78C0" w:rsidRPr="00BB2351">
        <w:t>.</w:t>
      </w:r>
      <w:r w:rsidRPr="00BB2351">
        <w:t xml:space="preserve"> </w:t>
      </w:r>
      <w:r w:rsidR="00CF78C0" w:rsidRPr="00BB2351">
        <w:t>O</w:t>
      </w:r>
      <w:r w:rsidRPr="00BB2351">
        <w:t xml:space="preserve">s resultados </w:t>
      </w:r>
      <w:r w:rsidRPr="001926A5">
        <w:t xml:space="preserve">dos testes </w:t>
      </w:r>
      <w:proofErr w:type="spellStart"/>
      <w:r w:rsidRPr="001926A5">
        <w:t>Kolmogorov-Smirnov</w:t>
      </w:r>
      <w:proofErr w:type="spellEnd"/>
      <w:r w:rsidRPr="001926A5">
        <w:t xml:space="preserve"> e Shapiro-</w:t>
      </w:r>
      <w:proofErr w:type="spellStart"/>
      <w:r w:rsidRPr="001926A5">
        <w:t>Wilk</w:t>
      </w:r>
      <w:proofErr w:type="spellEnd"/>
      <w:r w:rsidRPr="001926A5">
        <w:t xml:space="preserve"> foram: adesão ao tratamento </w:t>
      </w:r>
      <w:r w:rsidRPr="001926A5">
        <w:br/>
        <w:t>(</w:t>
      </w:r>
      <w:r w:rsidRPr="001926A5">
        <w:rPr>
          <w:i/>
        </w:rPr>
        <w:t>K-S</w:t>
      </w:r>
      <w:r w:rsidR="007139B1">
        <w:rPr>
          <w:i/>
        </w:rPr>
        <w:t xml:space="preserve"> </w:t>
      </w:r>
      <w:r w:rsidRPr="001926A5">
        <w:t>=</w:t>
      </w:r>
      <w:r w:rsidR="007139B1">
        <w:t xml:space="preserve"> </w:t>
      </w:r>
      <w:r w:rsidRPr="001926A5">
        <w:t xml:space="preserve">0,16, </w:t>
      </w:r>
      <w:r w:rsidRPr="001926A5">
        <w:rPr>
          <w:i/>
        </w:rPr>
        <w:t>p</w:t>
      </w:r>
      <w:r w:rsidR="007139B1">
        <w:rPr>
          <w:i/>
        </w:rPr>
        <w:t xml:space="preserve"> </w:t>
      </w:r>
      <w:r w:rsidRPr="001926A5">
        <w:t>=</w:t>
      </w:r>
      <w:r w:rsidR="007139B1">
        <w:t xml:space="preserve"> </w:t>
      </w:r>
      <w:r w:rsidRPr="001926A5">
        <w:t xml:space="preserve">0,000; </w:t>
      </w:r>
      <w:r w:rsidRPr="001926A5">
        <w:rPr>
          <w:i/>
        </w:rPr>
        <w:t>S-W</w:t>
      </w:r>
      <w:r w:rsidR="007139B1">
        <w:rPr>
          <w:i/>
        </w:rPr>
        <w:t xml:space="preserve"> </w:t>
      </w:r>
      <w:r w:rsidRPr="001926A5">
        <w:t>=</w:t>
      </w:r>
      <w:r w:rsidR="007139B1">
        <w:t xml:space="preserve"> </w:t>
      </w:r>
      <w:r w:rsidRPr="001926A5">
        <w:t xml:space="preserve">0,85, </w:t>
      </w:r>
      <w:r w:rsidRPr="001926A5">
        <w:rPr>
          <w:i/>
        </w:rPr>
        <w:t>p</w:t>
      </w:r>
      <w:r w:rsidR="007139B1">
        <w:rPr>
          <w:i/>
        </w:rPr>
        <w:t xml:space="preserve"> </w:t>
      </w:r>
      <w:r w:rsidRPr="001926A5">
        <w:t>=</w:t>
      </w:r>
      <w:r w:rsidR="007139B1">
        <w:t xml:space="preserve"> </w:t>
      </w:r>
      <w:r w:rsidRPr="001926A5">
        <w:t>0,000), risco psicológico (</w:t>
      </w:r>
      <w:r w:rsidRPr="001926A5">
        <w:rPr>
          <w:i/>
        </w:rPr>
        <w:t>K-S</w:t>
      </w:r>
      <w:r w:rsidR="007139B1">
        <w:rPr>
          <w:i/>
        </w:rPr>
        <w:t xml:space="preserve"> </w:t>
      </w:r>
      <w:r w:rsidRPr="001926A5">
        <w:t>=</w:t>
      </w:r>
      <w:r w:rsidR="007139B1">
        <w:t xml:space="preserve"> </w:t>
      </w:r>
      <w:r w:rsidRPr="001926A5">
        <w:t xml:space="preserve">0,08, </w:t>
      </w:r>
      <w:r w:rsidRPr="001926A5">
        <w:rPr>
          <w:i/>
        </w:rPr>
        <w:t>p</w:t>
      </w:r>
      <w:r w:rsidR="00BB2351">
        <w:rPr>
          <w:i/>
        </w:rPr>
        <w:t xml:space="preserve"> </w:t>
      </w:r>
      <w:r w:rsidRPr="001926A5">
        <w:t>=</w:t>
      </w:r>
      <w:r w:rsidR="00BB2351">
        <w:t xml:space="preserve"> </w:t>
      </w:r>
      <w:r w:rsidRPr="001926A5">
        <w:t xml:space="preserve">0,03; </w:t>
      </w:r>
      <w:r w:rsidRPr="001926A5">
        <w:rPr>
          <w:i/>
        </w:rPr>
        <w:t>S-W</w:t>
      </w:r>
      <w:r w:rsidR="007139B1">
        <w:rPr>
          <w:i/>
        </w:rPr>
        <w:t xml:space="preserve"> </w:t>
      </w:r>
      <w:r w:rsidRPr="001926A5">
        <w:t>=</w:t>
      </w:r>
      <w:r w:rsidR="007139B1">
        <w:t xml:space="preserve"> </w:t>
      </w:r>
      <w:r w:rsidRPr="001926A5">
        <w:t xml:space="preserve">0,98, </w:t>
      </w:r>
      <w:r w:rsidRPr="001926A5">
        <w:rPr>
          <w:i/>
        </w:rPr>
        <w:t>p</w:t>
      </w:r>
      <w:r w:rsidR="007139B1">
        <w:rPr>
          <w:i/>
        </w:rPr>
        <w:t xml:space="preserve"> </w:t>
      </w:r>
      <w:r w:rsidRPr="001926A5">
        <w:t>=</w:t>
      </w:r>
      <w:r w:rsidR="007139B1">
        <w:t xml:space="preserve"> </w:t>
      </w:r>
      <w:r w:rsidRPr="001926A5">
        <w:t xml:space="preserve">0,02) e </w:t>
      </w:r>
      <w:proofErr w:type="spellStart"/>
      <w:r w:rsidRPr="001926A5">
        <w:rPr>
          <w:i/>
        </w:rPr>
        <w:t>distress</w:t>
      </w:r>
      <w:proofErr w:type="spellEnd"/>
      <w:r w:rsidRPr="001926A5">
        <w:t xml:space="preserve"> (</w:t>
      </w:r>
      <w:r w:rsidRPr="001926A5">
        <w:rPr>
          <w:i/>
        </w:rPr>
        <w:t>K-S</w:t>
      </w:r>
      <w:r w:rsidR="007139B1">
        <w:rPr>
          <w:i/>
        </w:rPr>
        <w:t xml:space="preserve"> </w:t>
      </w:r>
      <w:r w:rsidRPr="001926A5">
        <w:t>=</w:t>
      </w:r>
      <w:r w:rsidR="007139B1">
        <w:t xml:space="preserve"> </w:t>
      </w:r>
      <w:r w:rsidRPr="001926A5">
        <w:t xml:space="preserve">0,11, </w:t>
      </w:r>
      <w:r w:rsidRPr="001926A5">
        <w:rPr>
          <w:i/>
        </w:rPr>
        <w:t>p</w:t>
      </w:r>
      <w:r w:rsidR="007139B1">
        <w:rPr>
          <w:i/>
        </w:rPr>
        <w:t xml:space="preserve"> </w:t>
      </w:r>
      <w:r w:rsidRPr="001926A5">
        <w:t>=</w:t>
      </w:r>
      <w:r w:rsidR="007139B1">
        <w:t xml:space="preserve"> </w:t>
      </w:r>
      <w:r w:rsidRPr="001926A5">
        <w:t xml:space="preserve">0,001; </w:t>
      </w:r>
      <w:r w:rsidRPr="001926A5">
        <w:rPr>
          <w:i/>
        </w:rPr>
        <w:t>S-W</w:t>
      </w:r>
      <w:r w:rsidR="007139B1">
        <w:rPr>
          <w:i/>
        </w:rPr>
        <w:t xml:space="preserve"> </w:t>
      </w:r>
      <w:r w:rsidRPr="001926A5">
        <w:t>=</w:t>
      </w:r>
      <w:r w:rsidR="007139B1">
        <w:t xml:space="preserve"> </w:t>
      </w:r>
      <w:r w:rsidRPr="001926A5">
        <w:t xml:space="preserve">0,96, </w:t>
      </w:r>
      <w:r w:rsidRPr="001926A5">
        <w:rPr>
          <w:i/>
        </w:rPr>
        <w:t>p</w:t>
      </w:r>
      <w:r w:rsidR="007139B1">
        <w:rPr>
          <w:i/>
        </w:rPr>
        <w:t xml:space="preserve"> </w:t>
      </w:r>
      <w:r w:rsidRPr="001926A5">
        <w:t>=</w:t>
      </w:r>
      <w:r w:rsidR="007139B1">
        <w:t xml:space="preserve"> </w:t>
      </w:r>
      <w:r w:rsidRPr="001926A5">
        <w:t xml:space="preserve">0,000). </w:t>
      </w:r>
    </w:p>
    <w:p w14:paraId="569A1414" w14:textId="77777777" w:rsidR="006950CD" w:rsidRPr="001926A5" w:rsidRDefault="00747A7F" w:rsidP="00A455BF">
      <w:pPr>
        <w:ind w:leftChars="0" w:left="0" w:firstLineChars="0" w:firstLine="720"/>
      </w:pPr>
      <w:r w:rsidRPr="001926A5">
        <w:t>Análises bivariadas foram realizadas com a variável critério adesão ao tratamento, comparada a medidas contínuas (que foram dicotomizadas) e categóricas dos questionários sociodemográfico e médico-clínico. Tendo em vista a violação da normalidade, análises não paramétricas (</w:t>
      </w:r>
      <w:proofErr w:type="spellStart"/>
      <w:r w:rsidRPr="001926A5">
        <w:t>Kruskal</w:t>
      </w:r>
      <w:proofErr w:type="spellEnd"/>
      <w:r w:rsidRPr="001926A5">
        <w:t xml:space="preserve"> Wallis e Mann-Whitney) foram realizadas. Constatou-se que não houve diferenças significativas com as variáveis: sexo, gênero, orientação sexual, local de residência, cor/raça autodeclarada, escolaridade, renda familiar, religião, tempo de diagnóstico, tempo de TARV e níveis de linfócitos T CD4. Ou seja, as medianas da adesão ao tratamento não diferiram de forma significativa nessas variáveis categorizadas em dois ou três grupos. </w:t>
      </w:r>
    </w:p>
    <w:p w14:paraId="70012CD6" w14:textId="25D65C03" w:rsidR="006950CD" w:rsidRPr="001926A5" w:rsidRDefault="00747A7F" w:rsidP="00A455BF">
      <w:pPr>
        <w:ind w:leftChars="0" w:left="0" w:firstLineChars="0" w:firstLine="720"/>
      </w:pPr>
      <w:r w:rsidRPr="00BB2351">
        <w:t>Diferentemente, identificou-se que as variáveis idade (</w:t>
      </w:r>
      <w:r w:rsidRPr="00BB2351">
        <w:rPr>
          <w:i/>
        </w:rPr>
        <w:t>U</w:t>
      </w:r>
      <w:r w:rsidR="00FE2DC6" w:rsidRPr="00BB2351">
        <w:rPr>
          <w:i/>
        </w:rPr>
        <w:t xml:space="preserve"> </w:t>
      </w:r>
      <w:r w:rsidRPr="00BB2351">
        <w:t>=</w:t>
      </w:r>
      <w:r w:rsidRPr="00C256D2">
        <w:t>1550,5</w:t>
      </w:r>
      <w:r w:rsidR="004E37BB" w:rsidRPr="00C256D2">
        <w:t>0</w:t>
      </w:r>
      <w:r w:rsidRPr="00BB2351">
        <w:t xml:space="preserve">; </w:t>
      </w:r>
      <w:proofErr w:type="spellStart"/>
      <w:r w:rsidRPr="00BB2351">
        <w:rPr>
          <w:i/>
        </w:rPr>
        <w:t>df</w:t>
      </w:r>
      <w:proofErr w:type="spellEnd"/>
      <w:r w:rsidR="00FE2DC6" w:rsidRPr="00BB2351">
        <w:rPr>
          <w:i/>
        </w:rPr>
        <w:t xml:space="preserve"> </w:t>
      </w:r>
      <w:r w:rsidRPr="00BB2351">
        <w:t>=</w:t>
      </w:r>
      <w:r w:rsidR="00FE2DC6" w:rsidRPr="00BB2351">
        <w:t xml:space="preserve"> </w:t>
      </w:r>
      <w:r w:rsidRPr="00BB2351">
        <w:t xml:space="preserve">1; </w:t>
      </w:r>
      <w:r w:rsidRPr="00BB2351">
        <w:rPr>
          <w:i/>
        </w:rPr>
        <w:t>p</w:t>
      </w:r>
      <w:r w:rsidR="00FE2DC6" w:rsidRPr="00BB2351">
        <w:rPr>
          <w:i/>
        </w:rPr>
        <w:t xml:space="preserve"> </w:t>
      </w:r>
      <w:r w:rsidRPr="00BB2351">
        <w:t>&lt;</w:t>
      </w:r>
      <w:r w:rsidR="00FE2DC6" w:rsidRPr="00BB2351">
        <w:t xml:space="preserve"> </w:t>
      </w:r>
      <w:r w:rsidRPr="00BB2351">
        <w:t>0,05), interrupção do tratamento por conta própria (</w:t>
      </w:r>
      <w:r w:rsidRPr="00BB2351">
        <w:rPr>
          <w:i/>
        </w:rPr>
        <w:t>U</w:t>
      </w:r>
      <w:r w:rsidR="00FE2DC6" w:rsidRPr="00BB2351">
        <w:rPr>
          <w:i/>
        </w:rPr>
        <w:t xml:space="preserve"> </w:t>
      </w:r>
      <w:r w:rsidRPr="00BB2351">
        <w:t>=</w:t>
      </w:r>
      <w:r w:rsidR="00FE2DC6" w:rsidRPr="00BB2351">
        <w:t xml:space="preserve"> </w:t>
      </w:r>
      <w:r w:rsidRPr="00BB2351">
        <w:t xml:space="preserve">933,500; </w:t>
      </w:r>
      <w:proofErr w:type="spellStart"/>
      <w:r w:rsidRPr="00BB2351">
        <w:rPr>
          <w:i/>
        </w:rPr>
        <w:t>df</w:t>
      </w:r>
      <w:proofErr w:type="spellEnd"/>
      <w:r w:rsidR="00FE2DC6" w:rsidRPr="00BB2351">
        <w:rPr>
          <w:i/>
        </w:rPr>
        <w:t xml:space="preserve"> </w:t>
      </w:r>
      <w:r w:rsidRPr="00BB2351">
        <w:t>=</w:t>
      </w:r>
      <w:r w:rsidR="00FE2DC6" w:rsidRPr="00BB2351">
        <w:t xml:space="preserve"> </w:t>
      </w:r>
      <w:r w:rsidRPr="00BB2351">
        <w:t xml:space="preserve">1; </w:t>
      </w:r>
      <w:r w:rsidRPr="00BB2351">
        <w:rPr>
          <w:i/>
        </w:rPr>
        <w:t>p</w:t>
      </w:r>
      <w:r w:rsidR="00FE2DC6" w:rsidRPr="00BB2351">
        <w:rPr>
          <w:i/>
        </w:rPr>
        <w:t xml:space="preserve"> </w:t>
      </w:r>
      <w:r w:rsidRPr="00BB2351">
        <w:t>&lt;</w:t>
      </w:r>
      <w:r w:rsidR="00FE2DC6" w:rsidRPr="00BB2351">
        <w:t xml:space="preserve"> </w:t>
      </w:r>
      <w:r w:rsidRPr="00BB2351">
        <w:t>0,001)</w:t>
      </w:r>
      <w:r w:rsidR="008D6B69" w:rsidRPr="00BB2351">
        <w:t xml:space="preserve"> e</w:t>
      </w:r>
      <w:r w:rsidRPr="00BB2351">
        <w:t xml:space="preserve"> carga viral (</w:t>
      </w:r>
      <w:r w:rsidRPr="00BB2351">
        <w:rPr>
          <w:i/>
        </w:rPr>
        <w:t>U</w:t>
      </w:r>
      <w:r w:rsidR="00FE2DC6" w:rsidRPr="00BB2351">
        <w:rPr>
          <w:i/>
        </w:rPr>
        <w:t xml:space="preserve"> </w:t>
      </w:r>
      <w:r w:rsidRPr="00BB2351">
        <w:t>=</w:t>
      </w:r>
      <w:r w:rsidR="00FE2DC6" w:rsidRPr="00BB2351">
        <w:t xml:space="preserve"> </w:t>
      </w:r>
      <w:r w:rsidRPr="00BB2351">
        <w:t xml:space="preserve">507,500; </w:t>
      </w:r>
      <w:proofErr w:type="spellStart"/>
      <w:r w:rsidRPr="00BB2351">
        <w:rPr>
          <w:i/>
        </w:rPr>
        <w:t>df</w:t>
      </w:r>
      <w:proofErr w:type="spellEnd"/>
      <w:r w:rsidR="00FE2DC6" w:rsidRPr="00BB2351">
        <w:rPr>
          <w:i/>
        </w:rPr>
        <w:t xml:space="preserve"> </w:t>
      </w:r>
      <w:r w:rsidRPr="00BB2351">
        <w:t>=</w:t>
      </w:r>
      <w:r w:rsidR="00FE2DC6" w:rsidRPr="00BB2351">
        <w:t xml:space="preserve"> </w:t>
      </w:r>
      <w:r w:rsidRPr="00BB2351">
        <w:t>1;</w:t>
      </w:r>
      <w:r w:rsidRPr="00BB2351">
        <w:rPr>
          <w:i/>
        </w:rPr>
        <w:t xml:space="preserve"> p</w:t>
      </w:r>
      <w:r w:rsidR="00FE2DC6" w:rsidRPr="00BB2351">
        <w:rPr>
          <w:i/>
        </w:rPr>
        <w:t xml:space="preserve"> </w:t>
      </w:r>
      <w:r w:rsidRPr="00BB2351">
        <w:t>&lt;</w:t>
      </w:r>
      <w:r w:rsidR="00FE2DC6" w:rsidRPr="00BB2351">
        <w:t xml:space="preserve"> </w:t>
      </w:r>
      <w:r w:rsidRPr="00BB2351">
        <w:t xml:space="preserve">0,001) apresentaram medianas diferentes </w:t>
      </w:r>
      <w:r w:rsidR="008D6B69" w:rsidRPr="00BB2351">
        <w:t xml:space="preserve">em relação à </w:t>
      </w:r>
      <w:r w:rsidRPr="00BB2351">
        <w:t>adesão ao tratamento,</w:t>
      </w:r>
      <w:r w:rsidR="008D6B69" w:rsidRPr="00BB2351">
        <w:t xml:space="preserve"> </w:t>
      </w:r>
      <w:r w:rsidR="00A70595" w:rsidRPr="00BB2351">
        <w:t>alcançando</w:t>
      </w:r>
      <w:r w:rsidR="008D6B69" w:rsidRPr="00BB2351">
        <w:t xml:space="preserve"> significância estatística</w:t>
      </w:r>
      <w:r w:rsidRPr="00BB2351">
        <w:t xml:space="preserve">. </w:t>
      </w:r>
      <w:r w:rsidRPr="001926A5">
        <w:t xml:space="preserve">Assim, pessoas com mais de 38 anos tiveram </w:t>
      </w:r>
      <w:r w:rsidRPr="001926A5">
        <w:lastRenderedPageBreak/>
        <w:t>valores maiores da mediana do CEAT, em relação aos mais jovens (</w:t>
      </w:r>
      <w:r w:rsidRPr="001926A5">
        <w:rPr>
          <w:i/>
        </w:rPr>
        <w:t>z</w:t>
      </w:r>
      <w:r w:rsidR="00FE2DC6">
        <w:rPr>
          <w:i/>
        </w:rPr>
        <w:t xml:space="preserve"> </w:t>
      </w:r>
      <w:r w:rsidRPr="001926A5">
        <w:t>=</w:t>
      </w:r>
      <w:r w:rsidR="00FE2DC6">
        <w:t xml:space="preserve"> </w:t>
      </w:r>
      <w:r w:rsidRPr="001926A5">
        <w:t xml:space="preserve">-2,55; </w:t>
      </w:r>
      <w:r w:rsidRPr="001926A5">
        <w:rPr>
          <w:i/>
        </w:rPr>
        <w:t>r</w:t>
      </w:r>
      <w:r w:rsidRPr="001926A5">
        <w:t xml:space="preserve"> = 0,22). Aqueles que não interromperam o tratamento também tiveram mediana mais alta se comparada </w:t>
      </w:r>
      <w:r w:rsidR="00CF78C0">
        <w:t>a</w:t>
      </w:r>
      <w:r w:rsidRPr="001926A5">
        <w:t xml:space="preserve"> dos que interromperam (</w:t>
      </w:r>
      <w:r w:rsidRPr="001926A5">
        <w:rPr>
          <w:i/>
        </w:rPr>
        <w:t>z</w:t>
      </w:r>
      <w:r w:rsidR="00FE2DC6">
        <w:rPr>
          <w:i/>
        </w:rPr>
        <w:t xml:space="preserve"> </w:t>
      </w:r>
      <w:r w:rsidRPr="001926A5">
        <w:t>=</w:t>
      </w:r>
      <w:r w:rsidR="00FE2DC6">
        <w:t xml:space="preserve"> </w:t>
      </w:r>
      <w:r w:rsidRPr="001926A5">
        <w:t>-4,65;</w:t>
      </w:r>
      <w:r w:rsidRPr="001926A5">
        <w:rPr>
          <w:i/>
        </w:rPr>
        <w:t xml:space="preserve"> r</w:t>
      </w:r>
      <w:r w:rsidRPr="001926A5">
        <w:t xml:space="preserve"> =</w:t>
      </w:r>
      <w:r w:rsidR="00FE2DC6">
        <w:t xml:space="preserve"> </w:t>
      </w:r>
      <w:r w:rsidRPr="001926A5">
        <w:t xml:space="preserve">-0,41). Quanto à carga viral, pessoas com CV indetectável tiveram medianas mais altas </w:t>
      </w:r>
      <w:r w:rsidRPr="00BB2351">
        <w:t xml:space="preserve">no CEAT, </w:t>
      </w:r>
      <w:r w:rsidR="00CF78C0" w:rsidRPr="00BB2351">
        <w:t xml:space="preserve">ao contrário </w:t>
      </w:r>
      <w:r w:rsidRPr="00BB2351">
        <w:t xml:space="preserve">das que </w:t>
      </w:r>
      <w:r w:rsidRPr="001926A5">
        <w:t>estavam detectáveis (</w:t>
      </w:r>
      <w:r w:rsidRPr="001926A5">
        <w:rPr>
          <w:i/>
        </w:rPr>
        <w:t>z</w:t>
      </w:r>
      <w:r w:rsidR="00FE2DC6">
        <w:rPr>
          <w:i/>
        </w:rPr>
        <w:t xml:space="preserve"> </w:t>
      </w:r>
      <w:r w:rsidRPr="001926A5">
        <w:t>=</w:t>
      </w:r>
      <w:r w:rsidR="00FE2DC6">
        <w:t xml:space="preserve"> </w:t>
      </w:r>
      <w:r w:rsidRPr="001926A5">
        <w:t xml:space="preserve">-4,42; </w:t>
      </w:r>
      <w:r w:rsidR="00E855FE">
        <w:br/>
      </w:r>
      <w:r w:rsidRPr="001926A5">
        <w:rPr>
          <w:i/>
        </w:rPr>
        <w:t>r</w:t>
      </w:r>
      <w:r w:rsidRPr="001926A5">
        <w:t xml:space="preserve"> =</w:t>
      </w:r>
      <w:r w:rsidR="00FE2DC6">
        <w:t xml:space="preserve"> </w:t>
      </w:r>
      <w:r w:rsidRPr="001926A5">
        <w:t xml:space="preserve">-0,39). Os valores do tamanho do efeito variaram de médio a baixo, nessas três variáveis. </w:t>
      </w:r>
    </w:p>
    <w:p w14:paraId="78220B52" w14:textId="0309BE9B" w:rsidR="006950CD" w:rsidRPr="001926A5" w:rsidRDefault="001F6076" w:rsidP="00A455BF">
      <w:pPr>
        <w:ind w:leftChars="0" w:left="0" w:firstLineChars="0" w:firstLine="720"/>
      </w:pPr>
      <w:r w:rsidRPr="001926A5">
        <w:t xml:space="preserve">Considerando que a carga viral é uma medida objetiva e padrão-ouro para avaliar a eficácia da TARV, uma análise de associação entre adesão autorrelatada e carga viral foi realizada com base no teste </w:t>
      </w:r>
      <w:proofErr w:type="spellStart"/>
      <w:r w:rsidRPr="001926A5">
        <w:t>qui</w:t>
      </w:r>
      <w:proofErr w:type="spellEnd"/>
      <w:r w:rsidRPr="001926A5">
        <w:t>-quadrado. Entre os 41 participantes que foram classificados como adesão estrita, 39</w:t>
      </w:r>
      <w:r w:rsidR="00A70595">
        <w:t xml:space="preserve"> </w:t>
      </w:r>
      <w:r w:rsidRPr="00A70595">
        <w:t>(95,1</w:t>
      </w:r>
      <w:r w:rsidR="00A70595" w:rsidRPr="00A70595">
        <w:t>0</w:t>
      </w:r>
      <w:r w:rsidRPr="00A70595">
        <w:t>%) tinham CV indetectável (≤ 40 cópias virais/ml), e dois (4,9</w:t>
      </w:r>
      <w:r w:rsidR="00A70595" w:rsidRPr="00A70595">
        <w:t>0</w:t>
      </w:r>
      <w:r w:rsidRPr="00A70595">
        <w:t>%) tinham carga viral detectável</w:t>
      </w:r>
      <w:r w:rsidRPr="001926A5">
        <w:t xml:space="preserve"> (≥ 41 cópias virais/ml). Quanto aos 89 que obtiveram escores compatíveis com adesão insuficiente (não estrita</w:t>
      </w:r>
      <w:r w:rsidRPr="00A70595">
        <w:t>), 68 (76,4</w:t>
      </w:r>
      <w:r w:rsidR="00A70595" w:rsidRPr="00A70595">
        <w:t>0</w:t>
      </w:r>
      <w:r w:rsidRPr="00A70595">
        <w:t>%) tinham CV indetectável e 21 (23,6</w:t>
      </w:r>
      <w:r w:rsidR="00A70595" w:rsidRPr="00A70595">
        <w:t>0</w:t>
      </w:r>
      <w:r w:rsidRPr="00A70595">
        <w:t xml:space="preserve">%) tinham CV detectável. No teste </w:t>
      </w:r>
      <w:proofErr w:type="spellStart"/>
      <w:r w:rsidRPr="00A70595">
        <w:t>qui</w:t>
      </w:r>
      <w:proofErr w:type="spellEnd"/>
      <w:r w:rsidRPr="00A70595">
        <w:t>-quadrado essa</w:t>
      </w:r>
      <w:r w:rsidRPr="001926A5">
        <w:t xml:space="preserve"> distribuição (adesão estrita e não estrita com CV detectável e indetectável) foi significativa (</w:t>
      </w:r>
      <w:r w:rsidRPr="001926A5">
        <w:rPr>
          <w:i/>
        </w:rPr>
        <w:t>χ²</w:t>
      </w:r>
      <w:r w:rsidR="00FE2DC6">
        <w:rPr>
          <w:i/>
        </w:rPr>
        <w:t xml:space="preserve"> </w:t>
      </w:r>
      <w:r w:rsidRPr="001926A5">
        <w:rPr>
          <w:i/>
        </w:rPr>
        <w:t>=</w:t>
      </w:r>
      <w:r w:rsidR="00FE2DC6">
        <w:rPr>
          <w:i/>
        </w:rPr>
        <w:t xml:space="preserve"> </w:t>
      </w:r>
      <w:r w:rsidRPr="001926A5">
        <w:rPr>
          <w:i/>
        </w:rPr>
        <w:t xml:space="preserve">6,75; </w:t>
      </w:r>
      <w:proofErr w:type="spellStart"/>
      <w:r w:rsidRPr="001926A5">
        <w:rPr>
          <w:i/>
        </w:rPr>
        <w:t>g.l</w:t>
      </w:r>
      <w:proofErr w:type="spellEnd"/>
      <w:r w:rsidRPr="001926A5">
        <w:rPr>
          <w:i/>
        </w:rPr>
        <w:t>.</w:t>
      </w:r>
      <w:r w:rsidR="00BB2351">
        <w:rPr>
          <w:i/>
        </w:rPr>
        <w:t xml:space="preserve"> </w:t>
      </w:r>
      <w:r w:rsidR="005902B4" w:rsidRPr="001926A5">
        <w:t>=</w:t>
      </w:r>
      <w:r w:rsidR="00BB2351">
        <w:t xml:space="preserve"> </w:t>
      </w:r>
      <w:r w:rsidRPr="001926A5">
        <w:t xml:space="preserve">1; </w:t>
      </w:r>
      <w:r w:rsidRPr="001926A5">
        <w:rPr>
          <w:i/>
        </w:rPr>
        <w:t>p</w:t>
      </w:r>
      <w:r w:rsidR="00FE2DC6">
        <w:rPr>
          <w:i/>
        </w:rPr>
        <w:t xml:space="preserve"> </w:t>
      </w:r>
      <w:r w:rsidR="005902B4" w:rsidRPr="001926A5">
        <w:t>=</w:t>
      </w:r>
      <w:r w:rsidR="00FE2DC6">
        <w:t xml:space="preserve"> </w:t>
      </w:r>
      <w:r w:rsidRPr="001926A5">
        <w:t xml:space="preserve">0,009), o que revela a capacidade do CEAT em discriminar os dois grupos, ao ter as medianas dos escores comparadas aos níveis de carga </w:t>
      </w:r>
      <w:r w:rsidRPr="00BB2351">
        <w:t xml:space="preserve">viral. No entanto, </w:t>
      </w:r>
      <w:r w:rsidR="00CF78C0" w:rsidRPr="00BB2351">
        <w:t xml:space="preserve">segundo o CEAT, </w:t>
      </w:r>
      <w:r w:rsidRPr="00BB2351">
        <w:t>68 pessoas com adesão não estrita estavam indetectáveis quanto à CV</w:t>
      </w:r>
      <w:r w:rsidRPr="001926A5">
        <w:t xml:space="preserve">, aspecto que pode ser atribuído aos fatores do instrumento que avaliam outras dimensões da conduta de adesão, além da observância do tratamento. </w:t>
      </w:r>
    </w:p>
    <w:p w14:paraId="4D19331D" w14:textId="1E049DCA" w:rsidR="006950CD" w:rsidRPr="00BB2351" w:rsidRDefault="00747A7F" w:rsidP="00A455BF">
      <w:pPr>
        <w:ind w:leftChars="0" w:left="0" w:firstLineChars="0" w:firstLine="720"/>
      </w:pPr>
      <w:r w:rsidRPr="00BB2351">
        <w:t xml:space="preserve">Por fim, com base na correlação de </w:t>
      </w:r>
      <w:proofErr w:type="spellStart"/>
      <w:r w:rsidRPr="00BB2351">
        <w:t>Spearman</w:t>
      </w:r>
      <w:proofErr w:type="spellEnd"/>
      <w:r w:rsidRPr="00BB2351">
        <w:t xml:space="preserve"> para descrever a relação entre as três variáveis contínuas principais do estudo, os resultados revelaram uma correlação moderada negativa entre as variáveis adesão e </w:t>
      </w:r>
      <w:proofErr w:type="spellStart"/>
      <w:r w:rsidRPr="00BB2351">
        <w:rPr>
          <w:i/>
        </w:rPr>
        <w:t>distress</w:t>
      </w:r>
      <w:proofErr w:type="spellEnd"/>
      <w:r w:rsidRPr="00BB2351">
        <w:t xml:space="preserve"> (ρ</w:t>
      </w:r>
      <w:r w:rsidR="00FE2DC6" w:rsidRPr="00BB2351">
        <w:t xml:space="preserve"> </w:t>
      </w:r>
      <w:r w:rsidRPr="00BB2351">
        <w:t>=</w:t>
      </w:r>
      <w:r w:rsidR="00FE2DC6" w:rsidRPr="00BB2351">
        <w:t xml:space="preserve"> </w:t>
      </w:r>
      <w:r w:rsidRPr="00BB2351">
        <w:t xml:space="preserve">-0,46; </w:t>
      </w:r>
      <w:r w:rsidRPr="00BB2351">
        <w:rPr>
          <w:i/>
        </w:rPr>
        <w:t>p</w:t>
      </w:r>
      <w:r w:rsidR="00FE2DC6" w:rsidRPr="00BB2351">
        <w:rPr>
          <w:i/>
        </w:rPr>
        <w:t xml:space="preserve"> </w:t>
      </w:r>
      <w:r w:rsidRPr="00BB2351">
        <w:t>&lt;</w:t>
      </w:r>
      <w:r w:rsidR="00FE2DC6" w:rsidRPr="00BB2351">
        <w:t xml:space="preserve"> </w:t>
      </w:r>
      <w:r w:rsidRPr="00BB2351">
        <w:t>0,001;</w:t>
      </w:r>
      <w:r w:rsidR="00CF78C0" w:rsidRPr="00BB2351">
        <w:t xml:space="preserve"> </w:t>
      </w:r>
      <w:r w:rsidRPr="00BB2351">
        <w:t>variância compartilhada</w:t>
      </w:r>
      <w:r w:rsidR="00FE2DC6" w:rsidRPr="00BB2351">
        <w:t xml:space="preserve"> </w:t>
      </w:r>
      <w:r w:rsidRPr="00BB2351">
        <w:t>=</w:t>
      </w:r>
      <w:r w:rsidR="00FE2DC6" w:rsidRPr="00BB2351">
        <w:t xml:space="preserve"> </w:t>
      </w:r>
      <w:r w:rsidRPr="00C256D2">
        <w:t>21,2</w:t>
      </w:r>
      <w:r w:rsidR="004E37BB" w:rsidRPr="00C256D2">
        <w:t>0</w:t>
      </w:r>
      <w:r w:rsidRPr="00C256D2">
        <w:t>%)</w:t>
      </w:r>
      <w:r w:rsidRPr="00BB2351">
        <w:t xml:space="preserve"> e risco psicológico e adesão (ρ</w:t>
      </w:r>
      <w:r w:rsidR="00FE2DC6" w:rsidRPr="00BB2351">
        <w:t xml:space="preserve"> </w:t>
      </w:r>
      <w:r w:rsidRPr="00BB2351">
        <w:t>=</w:t>
      </w:r>
      <w:r w:rsidR="00FE2DC6" w:rsidRPr="00BB2351">
        <w:t xml:space="preserve"> </w:t>
      </w:r>
      <w:r w:rsidRPr="00BB2351">
        <w:t xml:space="preserve">-0,45; </w:t>
      </w:r>
      <w:r w:rsidRPr="00BB2351">
        <w:rPr>
          <w:i/>
        </w:rPr>
        <w:t>p</w:t>
      </w:r>
      <w:r w:rsidR="00FE2DC6" w:rsidRPr="00BB2351">
        <w:rPr>
          <w:i/>
        </w:rPr>
        <w:t xml:space="preserve"> </w:t>
      </w:r>
      <w:r w:rsidRPr="00BB2351">
        <w:t>&lt;</w:t>
      </w:r>
      <w:r w:rsidR="00FE2DC6" w:rsidRPr="00BB2351">
        <w:t xml:space="preserve"> </w:t>
      </w:r>
      <w:r w:rsidRPr="00BB2351">
        <w:t>0,001; variância compartilhada</w:t>
      </w:r>
      <w:r w:rsidR="00FE2DC6" w:rsidRPr="00BB2351">
        <w:t xml:space="preserve"> </w:t>
      </w:r>
      <w:r w:rsidRPr="00C256D2">
        <w:t>=</w:t>
      </w:r>
      <w:r w:rsidR="00FE2DC6" w:rsidRPr="00C256D2">
        <w:t xml:space="preserve"> </w:t>
      </w:r>
      <w:r w:rsidRPr="00C256D2">
        <w:t>20,3</w:t>
      </w:r>
      <w:r w:rsidR="004E37BB" w:rsidRPr="00C256D2">
        <w:t>0</w:t>
      </w:r>
      <w:r w:rsidRPr="00C256D2">
        <w:t>%).</w:t>
      </w:r>
      <w:r w:rsidRPr="00BB2351">
        <w:t xml:space="preserve"> Observou-se ainda uma correlação forte positiva entre as variáveis risco psicológico e </w:t>
      </w:r>
      <w:proofErr w:type="spellStart"/>
      <w:r w:rsidRPr="00BB2351">
        <w:rPr>
          <w:i/>
        </w:rPr>
        <w:t>distress</w:t>
      </w:r>
      <w:proofErr w:type="spellEnd"/>
      <w:r w:rsidRPr="00BB2351">
        <w:t xml:space="preserve"> (ρ</w:t>
      </w:r>
      <w:r w:rsidR="00FE2DC6" w:rsidRPr="00BB2351">
        <w:t xml:space="preserve"> </w:t>
      </w:r>
      <w:r w:rsidRPr="00BB2351">
        <w:t xml:space="preserve">= 0,72; </w:t>
      </w:r>
      <w:r w:rsidRPr="00BB2351">
        <w:rPr>
          <w:i/>
        </w:rPr>
        <w:t>p</w:t>
      </w:r>
      <w:r w:rsidRPr="00BB2351">
        <w:t xml:space="preserve"> &lt; 0,001; variância com</w:t>
      </w:r>
      <w:r w:rsidRPr="00FB0C31">
        <w:t>partilhada</w:t>
      </w:r>
      <w:r w:rsidR="00FE2DC6" w:rsidRPr="00FB0C31">
        <w:t xml:space="preserve"> </w:t>
      </w:r>
      <w:r w:rsidRPr="00FB0C31">
        <w:t>=</w:t>
      </w:r>
      <w:r w:rsidR="00FE2DC6" w:rsidRPr="00FB0C31">
        <w:t xml:space="preserve"> </w:t>
      </w:r>
      <w:r w:rsidRPr="00FB0C31">
        <w:t>51,8</w:t>
      </w:r>
      <w:r w:rsidR="00CC3E24" w:rsidRPr="00FB0C31">
        <w:t>0</w:t>
      </w:r>
      <w:r w:rsidRPr="00FB0C31">
        <w:t>%), indicando</w:t>
      </w:r>
      <w:r w:rsidRPr="00BB2351">
        <w:t xml:space="preserve"> que níveis mais altos de </w:t>
      </w:r>
      <w:proofErr w:type="spellStart"/>
      <w:r w:rsidRPr="00BB2351">
        <w:rPr>
          <w:i/>
        </w:rPr>
        <w:lastRenderedPageBreak/>
        <w:t>distress</w:t>
      </w:r>
      <w:proofErr w:type="spellEnd"/>
      <w:r w:rsidRPr="00BB2351">
        <w:t xml:space="preserve"> estiveram associados de forma estatisticamente significativa a escores mais altos de risco psicológico de não ajustamento e vice-versa</w:t>
      </w:r>
      <w:r w:rsidR="00CF78C0" w:rsidRPr="00BB2351">
        <w:t>.</w:t>
      </w:r>
      <w:r w:rsidRPr="00BB2351">
        <w:t xml:space="preserve"> </w:t>
      </w:r>
      <w:r w:rsidR="00CF78C0" w:rsidRPr="00BB2351">
        <w:t>A</w:t>
      </w:r>
      <w:r w:rsidRPr="00BB2351">
        <w:t xml:space="preserve"> variância compartilhada variou de baixa a moderada. </w:t>
      </w:r>
    </w:p>
    <w:p w14:paraId="5ACAAFC8" w14:textId="03DBD815" w:rsidR="006950CD" w:rsidRPr="001926A5" w:rsidRDefault="00747A7F">
      <w:pPr>
        <w:ind w:left="0" w:hanging="2"/>
      </w:pPr>
      <w:r w:rsidRPr="001926A5">
        <w:rPr>
          <w:b/>
        </w:rPr>
        <w:t>Preditores da Adesão ao Tratamento em Pessoas com HIV</w:t>
      </w:r>
      <w:r w:rsidR="001F68F3">
        <w:rPr>
          <w:b/>
        </w:rPr>
        <w:t xml:space="preserve"> </w:t>
      </w:r>
    </w:p>
    <w:p w14:paraId="2CC67A1A" w14:textId="77777777" w:rsidR="006950CD" w:rsidRPr="001926A5" w:rsidRDefault="00747A7F" w:rsidP="00FE2DC6">
      <w:pPr>
        <w:ind w:leftChars="0" w:left="0" w:firstLineChars="0" w:firstLine="720"/>
      </w:pPr>
      <w:r w:rsidRPr="001926A5">
        <w:t xml:space="preserve">Pressupostos relativos a análises multivariadas foram investigados. O indicador </w:t>
      </w:r>
      <w:proofErr w:type="spellStart"/>
      <w:r w:rsidRPr="001926A5">
        <w:t>Durbin</w:t>
      </w:r>
      <w:proofErr w:type="spellEnd"/>
      <w:r w:rsidRPr="001926A5">
        <w:t xml:space="preserve">-Watson, que se refere à correlação entre os resíduos, teve valor próximo a 2 (1,846), indicando que esses não estavam correlacionados de forma a prejudicar a estimativa do modelo. Para análise da </w:t>
      </w:r>
      <w:proofErr w:type="spellStart"/>
      <w:r w:rsidRPr="001926A5">
        <w:t>multicolinearidade</w:t>
      </w:r>
      <w:proofErr w:type="spellEnd"/>
      <w:r w:rsidRPr="001926A5">
        <w:t>, o valor do VIF (</w:t>
      </w:r>
      <w:proofErr w:type="spellStart"/>
      <w:r w:rsidRPr="001926A5">
        <w:rPr>
          <w:i/>
        </w:rPr>
        <w:t>variance</w:t>
      </w:r>
      <w:proofErr w:type="spellEnd"/>
      <w:r w:rsidRPr="001926A5">
        <w:rPr>
          <w:i/>
        </w:rPr>
        <w:t xml:space="preserve"> </w:t>
      </w:r>
      <w:proofErr w:type="spellStart"/>
      <w:r w:rsidRPr="001926A5">
        <w:rPr>
          <w:i/>
        </w:rPr>
        <w:t>inflation</w:t>
      </w:r>
      <w:proofErr w:type="spellEnd"/>
      <w:r w:rsidRPr="001926A5">
        <w:rPr>
          <w:i/>
        </w:rPr>
        <w:t xml:space="preserve"> </w:t>
      </w:r>
      <w:proofErr w:type="spellStart"/>
      <w:r w:rsidRPr="001926A5">
        <w:rPr>
          <w:i/>
        </w:rPr>
        <w:t>factor</w:t>
      </w:r>
      <w:proofErr w:type="spellEnd"/>
      <w:r w:rsidRPr="001926A5">
        <w:t xml:space="preserve">) foi obtido, sendo que variaram de 1,0 a 1,2, números que indicam ausência de </w:t>
      </w:r>
      <w:proofErr w:type="spellStart"/>
      <w:r w:rsidRPr="001926A5">
        <w:t>multicolinearidade</w:t>
      </w:r>
      <w:proofErr w:type="spellEnd"/>
      <w:r w:rsidRPr="001926A5">
        <w:t xml:space="preserve"> entre as variáveis antecedentes. </w:t>
      </w:r>
    </w:p>
    <w:p w14:paraId="5547073E" w14:textId="6F6C3BF4" w:rsidR="006950CD" w:rsidRPr="001926A5" w:rsidRDefault="00747A7F" w:rsidP="00A455BF">
      <w:pPr>
        <w:ind w:leftChars="0" w:left="0" w:firstLineChars="0" w:firstLine="720"/>
      </w:pPr>
      <w:r w:rsidRPr="00BB2351">
        <w:t xml:space="preserve">Investigou-se primeiramente a existência de casos discrepantes </w:t>
      </w:r>
      <w:proofErr w:type="spellStart"/>
      <w:r w:rsidRPr="00BB2351">
        <w:t>univariados</w:t>
      </w:r>
      <w:proofErr w:type="spellEnd"/>
      <w:r w:rsidRPr="00BB2351">
        <w:t xml:space="preserve"> nas três variáveis contínuas do estudo. Foram identificados dois casos extremos</w:t>
      </w:r>
      <w:r w:rsidR="0023668C" w:rsidRPr="00BB2351">
        <w:t xml:space="preserve"> da variável adesão</w:t>
      </w:r>
      <w:r w:rsidRPr="00BB2351">
        <w:t xml:space="preserve">, ambos nos limites inferiores. Optou-se por não realizar qualquer procedimento de reajuste nos escores desses casos, </w:t>
      </w:r>
      <w:r w:rsidR="0023668C" w:rsidRPr="00BB2351">
        <w:t xml:space="preserve">tendo em vista </w:t>
      </w:r>
      <w:r w:rsidRPr="00BB2351">
        <w:t xml:space="preserve">o seu número reduzido e </w:t>
      </w:r>
      <w:r w:rsidR="0023668C" w:rsidRPr="00BB2351">
        <w:t xml:space="preserve">considerando </w:t>
      </w:r>
      <w:r w:rsidRPr="00BB2351">
        <w:t xml:space="preserve">respeitar o dado empírico. Não foram </w:t>
      </w:r>
      <w:r w:rsidRPr="001926A5">
        <w:t xml:space="preserve">identificados casos discrepantes </w:t>
      </w:r>
      <w:proofErr w:type="spellStart"/>
      <w:r w:rsidRPr="001926A5">
        <w:t>univariados</w:t>
      </w:r>
      <w:proofErr w:type="spellEnd"/>
      <w:r w:rsidRPr="001926A5">
        <w:t xml:space="preserve"> em </w:t>
      </w:r>
      <w:proofErr w:type="spellStart"/>
      <w:r w:rsidRPr="001926A5">
        <w:rPr>
          <w:i/>
        </w:rPr>
        <w:t>distress</w:t>
      </w:r>
      <w:proofErr w:type="spellEnd"/>
      <w:r w:rsidRPr="001926A5">
        <w:t xml:space="preserve"> e nos escores do IRP. </w:t>
      </w:r>
    </w:p>
    <w:p w14:paraId="20EDC086" w14:textId="23803218" w:rsidR="006950CD" w:rsidRDefault="00747A7F" w:rsidP="002B7BBB">
      <w:pPr>
        <w:ind w:leftChars="0" w:left="0" w:firstLineChars="0" w:firstLine="720"/>
      </w:pPr>
      <w:r w:rsidRPr="001926A5">
        <w:t>Outro indicador foi solicitado na análise de regressão</w:t>
      </w:r>
      <w:r w:rsidR="0023668C">
        <w:t>, o</w:t>
      </w:r>
      <w:r w:rsidRPr="001926A5">
        <w:t xml:space="preserve"> qu</w:t>
      </w:r>
      <w:r w:rsidR="0023668C">
        <w:t>al</w:t>
      </w:r>
      <w:r w:rsidRPr="001926A5">
        <w:t xml:space="preserve"> informa sobre a presença de casos discrepantes </w:t>
      </w:r>
      <w:proofErr w:type="spellStart"/>
      <w:r w:rsidRPr="001926A5">
        <w:t>univariados</w:t>
      </w:r>
      <w:proofErr w:type="spellEnd"/>
      <w:r w:rsidRPr="001926A5">
        <w:t xml:space="preserve"> na amostra: a distância de resíduos padronizados (ZRE). No caso da distância de resíduos, espera-se que até 5% de casos tenham distância residual do desvio-padrão maior que 2. Observou-se a presença de cinco casos com valores acima de 2, o que representou </w:t>
      </w:r>
      <w:r w:rsidRPr="00354B16">
        <w:t>3,8</w:t>
      </w:r>
      <w:r w:rsidR="00354B16" w:rsidRPr="00354B16">
        <w:t>0</w:t>
      </w:r>
      <w:r w:rsidRPr="00354B16">
        <w:t>%</w:t>
      </w:r>
      <w:r w:rsidRPr="001926A5">
        <w:t xml:space="preserve"> da amostra, indicando que não houve problemas relevantes nesses casos. </w:t>
      </w:r>
      <w:r w:rsidR="00354B16" w:rsidRPr="00BB2351">
        <w:t xml:space="preserve">Outro indicador importante </w:t>
      </w:r>
      <w:r w:rsidR="002B7BBB" w:rsidRPr="00BB2351">
        <w:t>a</w:t>
      </w:r>
      <w:r w:rsidR="00354B16" w:rsidRPr="00BB2351">
        <w:t xml:space="preserve">cerca da discrepância de </w:t>
      </w:r>
      <w:r w:rsidR="002B7BBB" w:rsidRPr="00BB2351">
        <w:t xml:space="preserve">casos </w:t>
      </w:r>
      <w:r w:rsidR="00354B16" w:rsidRPr="00BB2351">
        <w:t xml:space="preserve">da </w:t>
      </w:r>
      <w:r w:rsidR="002B7BBB" w:rsidRPr="00BB2351">
        <w:t xml:space="preserve">amostra é </w:t>
      </w:r>
      <w:r w:rsidR="00354B16" w:rsidRPr="00BB2351">
        <w:t xml:space="preserve">a </w:t>
      </w:r>
      <w:r w:rsidRPr="00BB2351">
        <w:t>distância de Cook 's</w:t>
      </w:r>
      <w:r w:rsidR="002B7BBB" w:rsidRPr="00BB2351">
        <w:t>:</w:t>
      </w:r>
      <w:r w:rsidRPr="00BB2351">
        <w:t xml:space="preserve"> casos com valores acima de 1 podem ser problemáticos; </w:t>
      </w:r>
      <w:r w:rsidR="00354B16" w:rsidRPr="00BB2351">
        <w:t xml:space="preserve">no </w:t>
      </w:r>
      <w:r w:rsidR="00354B16">
        <w:t xml:space="preserve">entanto, </w:t>
      </w:r>
      <w:r w:rsidRPr="001926A5">
        <w:t>não houve nenhum caso com valor acima de 1 na amostra</w:t>
      </w:r>
      <w:r w:rsidR="00354B16">
        <w:t xml:space="preserve"> do estudo</w:t>
      </w:r>
      <w:r w:rsidRPr="001926A5">
        <w:t xml:space="preserve">. Com base no critério da distância </w:t>
      </w:r>
      <w:proofErr w:type="spellStart"/>
      <w:r w:rsidRPr="001926A5">
        <w:lastRenderedPageBreak/>
        <w:t>Mahalanobis</w:t>
      </w:r>
      <w:proofErr w:type="spellEnd"/>
      <w:r w:rsidRPr="001926A5">
        <w:t xml:space="preserve">, os </w:t>
      </w:r>
      <w:proofErr w:type="spellStart"/>
      <w:r w:rsidRPr="001926A5">
        <w:rPr>
          <w:i/>
        </w:rPr>
        <w:t>outliers</w:t>
      </w:r>
      <w:proofErr w:type="spellEnd"/>
      <w:r w:rsidRPr="001926A5">
        <w:t xml:space="preserve"> multivariados foram pesquisados e nenhum caso discrepante foi identificado. </w:t>
      </w:r>
    </w:p>
    <w:p w14:paraId="5BFF96D7" w14:textId="5CF11C47" w:rsidR="006950CD" w:rsidRPr="000E0201" w:rsidRDefault="00747A7F" w:rsidP="00354B16">
      <w:pPr>
        <w:ind w:leftChars="0" w:left="0" w:firstLineChars="0" w:firstLine="720"/>
        <w:rPr>
          <w:color w:val="EE0000"/>
        </w:rPr>
      </w:pPr>
      <w:r w:rsidRPr="00BB2351">
        <w:t xml:space="preserve">Procedeu-se, então, </w:t>
      </w:r>
      <w:r w:rsidR="00BB2351" w:rsidRPr="00C256D2">
        <w:t>a</w:t>
      </w:r>
      <w:r w:rsidRPr="00BB2351">
        <w:t xml:space="preserve"> realização de uma regressão linear múltipla (método </w:t>
      </w:r>
      <w:proofErr w:type="spellStart"/>
      <w:r w:rsidRPr="00BB2351">
        <w:rPr>
          <w:i/>
        </w:rPr>
        <w:t>forward</w:t>
      </w:r>
      <w:proofErr w:type="spellEnd"/>
      <w:r w:rsidRPr="00BB2351">
        <w:t>) com o objetivo de investigar em que medida as variáveis</w:t>
      </w:r>
      <w:r w:rsidR="00E855FE" w:rsidRPr="00BB2351">
        <w:t xml:space="preserve"> antecedentes</w:t>
      </w:r>
      <w:r w:rsidRPr="00BB2351">
        <w:t xml:space="preserve"> </w:t>
      </w:r>
      <w:r w:rsidR="00354B16" w:rsidRPr="00BB2351">
        <w:t xml:space="preserve">(a) </w:t>
      </w:r>
      <w:r w:rsidRPr="00BB2351">
        <w:t>interrupção por conta própria da TARV (</w:t>
      </w:r>
      <w:proofErr w:type="spellStart"/>
      <w:r w:rsidRPr="00BB2351">
        <w:rPr>
          <w:i/>
        </w:rPr>
        <w:t>dummy</w:t>
      </w:r>
      <w:proofErr w:type="spellEnd"/>
      <w:r w:rsidRPr="00BB2351">
        <w:t>: não interrompeu)</w:t>
      </w:r>
      <w:r w:rsidR="00354B16" w:rsidRPr="00BB2351">
        <w:t xml:space="preserve">; (b) </w:t>
      </w:r>
      <w:r w:rsidRPr="00BB2351">
        <w:t>idade em anos</w:t>
      </w:r>
      <w:r w:rsidR="00354B16" w:rsidRPr="00BB2351">
        <w:t>;</w:t>
      </w:r>
      <w:r w:rsidRPr="00BB2351">
        <w:t xml:space="preserve"> </w:t>
      </w:r>
      <w:r w:rsidR="00354B16" w:rsidRPr="00BB2351">
        <w:t xml:space="preserve">(c) </w:t>
      </w:r>
      <w:r w:rsidRPr="00BB2351">
        <w:t>risco psicológico de não ajustamento</w:t>
      </w:r>
      <w:r w:rsidR="00354B16" w:rsidRPr="00BB2351">
        <w:t>;</w:t>
      </w:r>
      <w:r w:rsidRPr="00BB2351">
        <w:t xml:space="preserve"> e </w:t>
      </w:r>
      <w:r w:rsidR="00354B16" w:rsidRPr="00BB2351">
        <w:t xml:space="preserve">(d) </w:t>
      </w:r>
      <w:proofErr w:type="spellStart"/>
      <w:r w:rsidRPr="00BB2351">
        <w:rPr>
          <w:i/>
        </w:rPr>
        <w:t>distress</w:t>
      </w:r>
      <w:proofErr w:type="spellEnd"/>
      <w:r w:rsidRPr="00BB2351">
        <w:t xml:space="preserve"> impactavam os níveis de adesão à TARV</w:t>
      </w:r>
      <w:r w:rsidR="00354B16" w:rsidRPr="00BB2351">
        <w:t xml:space="preserve"> (variável critério do estudo)</w:t>
      </w:r>
      <w:r w:rsidRPr="00BB2351">
        <w:t xml:space="preserve">. Os </w:t>
      </w:r>
      <w:r w:rsidRPr="001926A5">
        <w:t>resultados mostraram a existência de influência significativa das variáveis antecedentes nos níveis de adesão (</w:t>
      </w:r>
      <w:proofErr w:type="gramStart"/>
      <w:r w:rsidRPr="001926A5">
        <w:rPr>
          <w:i/>
        </w:rPr>
        <w:t>F</w:t>
      </w:r>
      <w:r w:rsidRPr="001926A5">
        <w:t>(</w:t>
      </w:r>
      <w:proofErr w:type="gramEnd"/>
      <w:r w:rsidRPr="001926A5">
        <w:t xml:space="preserve">3, 126) = 25,77 </w:t>
      </w:r>
      <w:r w:rsidRPr="001926A5">
        <w:rPr>
          <w:i/>
        </w:rPr>
        <w:t>p</w:t>
      </w:r>
      <w:r w:rsidRPr="001926A5">
        <w:t xml:space="preserve"> &lt; 0,00; </w:t>
      </w:r>
      <w:r w:rsidRPr="001926A5">
        <w:rPr>
          <w:i/>
        </w:rPr>
        <w:t>R</w:t>
      </w:r>
      <w:r w:rsidRPr="001926A5">
        <w:rPr>
          <w:i/>
          <w:vertAlign w:val="superscript"/>
        </w:rPr>
        <w:t>2</w:t>
      </w:r>
      <w:r w:rsidRPr="001926A5">
        <w:t xml:space="preserve"> ajustado = 0,37). A Tabela 1 apresenta os coeficientes para os preditores que alcançaram significância estatística.</w:t>
      </w:r>
    </w:p>
    <w:p w14:paraId="774A9EDA" w14:textId="4A67B019" w:rsidR="006950CD" w:rsidRPr="001926A5" w:rsidRDefault="00747A7F">
      <w:pPr>
        <w:ind w:left="0" w:hanging="2"/>
      </w:pPr>
      <w:r w:rsidRPr="001926A5">
        <w:rPr>
          <w:b/>
        </w:rPr>
        <w:t>Tabela 1</w:t>
      </w:r>
      <w:r w:rsidR="001F68F3">
        <w:rPr>
          <w:b/>
        </w:rPr>
        <w:t xml:space="preserve"> </w:t>
      </w:r>
    </w:p>
    <w:p w14:paraId="04BD0EDB" w14:textId="1C22EE20" w:rsidR="006950CD" w:rsidRPr="001926A5" w:rsidRDefault="00747A7F">
      <w:pPr>
        <w:ind w:left="0" w:hanging="2"/>
      </w:pPr>
      <w:r w:rsidRPr="001926A5">
        <w:rPr>
          <w:i/>
        </w:rPr>
        <w:t>Variáveis Preditoras de Adesão ao Tratamento</w:t>
      </w:r>
      <w:r w:rsidR="00FB0C31">
        <w:rPr>
          <w:i/>
        </w:rPr>
        <w:t>.</w:t>
      </w:r>
    </w:p>
    <w:tbl>
      <w:tblPr>
        <w:tblStyle w:val="af6"/>
        <w:tblW w:w="9013" w:type="dxa"/>
        <w:tblInd w:w="-10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3914"/>
        <w:gridCol w:w="1675"/>
        <w:gridCol w:w="934"/>
        <w:gridCol w:w="830"/>
        <w:gridCol w:w="830"/>
        <w:gridCol w:w="830"/>
      </w:tblGrid>
      <w:tr w:rsidR="001926A5" w:rsidRPr="001926A5" w14:paraId="251D2DBF" w14:textId="77777777">
        <w:trPr>
          <w:cantSplit/>
          <w:trHeight w:val="570"/>
        </w:trPr>
        <w:tc>
          <w:tcPr>
            <w:tcW w:w="3914" w:type="dxa"/>
            <w:vMerge w:val="restart"/>
            <w:tcBorders>
              <w:top w:val="single" w:sz="6" w:space="0" w:color="000000"/>
              <w:left w:val="nil"/>
              <w:bottom w:val="single" w:sz="6" w:space="0" w:color="000000"/>
              <w:right w:val="nil"/>
            </w:tcBorders>
            <w:tcMar>
              <w:left w:w="105" w:type="dxa"/>
              <w:right w:w="105" w:type="dxa"/>
            </w:tcMar>
            <w:vAlign w:val="center"/>
          </w:tcPr>
          <w:p w14:paraId="63EF8C32" w14:textId="77777777" w:rsidR="006950CD" w:rsidRPr="00397064" w:rsidRDefault="00747A7F">
            <w:pPr>
              <w:keepNext/>
              <w:spacing w:line="240" w:lineRule="auto"/>
              <w:ind w:left="0" w:hanging="2"/>
              <w:rPr>
                <w:sz w:val="22"/>
                <w:szCs w:val="22"/>
              </w:rPr>
            </w:pPr>
            <w:r w:rsidRPr="00397064">
              <w:rPr>
                <w:sz w:val="22"/>
                <w:szCs w:val="22"/>
              </w:rPr>
              <w:t>Preditores</w:t>
            </w:r>
          </w:p>
        </w:tc>
        <w:tc>
          <w:tcPr>
            <w:tcW w:w="1675" w:type="dxa"/>
            <w:tcBorders>
              <w:top w:val="single" w:sz="6" w:space="0" w:color="000000"/>
              <w:left w:val="nil"/>
              <w:bottom w:val="nil"/>
              <w:right w:val="nil"/>
            </w:tcBorders>
            <w:tcMar>
              <w:left w:w="105" w:type="dxa"/>
              <w:right w:w="105" w:type="dxa"/>
            </w:tcMar>
          </w:tcPr>
          <w:p w14:paraId="77E2538B" w14:textId="77777777" w:rsidR="006950CD" w:rsidRPr="00397064" w:rsidRDefault="00747A7F">
            <w:pPr>
              <w:keepNext/>
              <w:spacing w:line="240" w:lineRule="auto"/>
              <w:ind w:left="0" w:hanging="2"/>
              <w:jc w:val="center"/>
              <w:rPr>
                <w:sz w:val="22"/>
                <w:szCs w:val="22"/>
              </w:rPr>
            </w:pPr>
            <w:r w:rsidRPr="00397064">
              <w:rPr>
                <w:sz w:val="22"/>
                <w:szCs w:val="22"/>
              </w:rPr>
              <w:t>Coeficientes padronizados</w:t>
            </w:r>
          </w:p>
        </w:tc>
        <w:tc>
          <w:tcPr>
            <w:tcW w:w="934" w:type="dxa"/>
            <w:vMerge w:val="restart"/>
            <w:tcBorders>
              <w:top w:val="single" w:sz="6" w:space="0" w:color="000000"/>
              <w:left w:val="nil"/>
              <w:bottom w:val="single" w:sz="6" w:space="0" w:color="000000"/>
              <w:right w:val="nil"/>
            </w:tcBorders>
            <w:tcMar>
              <w:left w:w="105" w:type="dxa"/>
              <w:right w:w="105" w:type="dxa"/>
            </w:tcMar>
            <w:vAlign w:val="center"/>
          </w:tcPr>
          <w:p w14:paraId="40AC0597" w14:textId="77777777" w:rsidR="006950CD" w:rsidRPr="00397064" w:rsidRDefault="00747A7F">
            <w:pPr>
              <w:keepNext/>
              <w:spacing w:line="240" w:lineRule="auto"/>
              <w:ind w:left="0" w:hanging="2"/>
              <w:jc w:val="center"/>
              <w:rPr>
                <w:sz w:val="22"/>
                <w:szCs w:val="22"/>
              </w:rPr>
            </w:pPr>
            <w:proofErr w:type="gramStart"/>
            <w:r w:rsidRPr="00397064">
              <w:rPr>
                <w:i/>
                <w:sz w:val="22"/>
                <w:szCs w:val="22"/>
              </w:rPr>
              <w:t>t</w:t>
            </w:r>
            <w:proofErr w:type="gramEnd"/>
          </w:p>
        </w:tc>
        <w:tc>
          <w:tcPr>
            <w:tcW w:w="830" w:type="dxa"/>
            <w:vMerge w:val="restart"/>
            <w:tcBorders>
              <w:top w:val="single" w:sz="6" w:space="0" w:color="000000"/>
              <w:left w:val="nil"/>
              <w:bottom w:val="single" w:sz="6" w:space="0" w:color="000000"/>
              <w:right w:val="nil"/>
            </w:tcBorders>
            <w:tcMar>
              <w:left w:w="105" w:type="dxa"/>
              <w:right w:w="105" w:type="dxa"/>
            </w:tcMar>
            <w:vAlign w:val="center"/>
          </w:tcPr>
          <w:p w14:paraId="225F42B5" w14:textId="77777777" w:rsidR="006950CD" w:rsidRPr="00397064" w:rsidRDefault="00747A7F">
            <w:pPr>
              <w:keepNext/>
              <w:spacing w:line="240" w:lineRule="auto"/>
              <w:ind w:left="0" w:hanging="2"/>
              <w:rPr>
                <w:sz w:val="22"/>
                <w:szCs w:val="22"/>
              </w:rPr>
            </w:pPr>
            <w:r w:rsidRPr="00397064">
              <w:rPr>
                <w:i/>
                <w:sz w:val="22"/>
                <w:szCs w:val="22"/>
              </w:rPr>
              <w:t xml:space="preserve"> </w:t>
            </w:r>
            <w:proofErr w:type="spellStart"/>
            <w:r w:rsidRPr="00397064">
              <w:rPr>
                <w:i/>
                <w:sz w:val="22"/>
                <w:szCs w:val="22"/>
              </w:rPr>
              <w:t>Sig</w:t>
            </w:r>
            <w:proofErr w:type="spellEnd"/>
            <w:r w:rsidRPr="00397064">
              <w:rPr>
                <w:i/>
                <w:sz w:val="22"/>
                <w:szCs w:val="22"/>
              </w:rPr>
              <w:t>.</w:t>
            </w:r>
          </w:p>
        </w:tc>
        <w:tc>
          <w:tcPr>
            <w:tcW w:w="830" w:type="dxa"/>
            <w:vMerge w:val="restart"/>
            <w:tcBorders>
              <w:top w:val="single" w:sz="6" w:space="0" w:color="000000"/>
              <w:left w:val="nil"/>
              <w:bottom w:val="single" w:sz="6" w:space="0" w:color="000000"/>
              <w:right w:val="nil"/>
            </w:tcBorders>
            <w:tcMar>
              <w:left w:w="105" w:type="dxa"/>
              <w:right w:w="105" w:type="dxa"/>
            </w:tcMar>
            <w:vAlign w:val="center"/>
          </w:tcPr>
          <w:p w14:paraId="3B8ECCDB" w14:textId="2F8DD27E" w:rsidR="006950CD" w:rsidRPr="00397064" w:rsidRDefault="001F68F3">
            <w:pPr>
              <w:keepNext/>
              <w:spacing w:line="240" w:lineRule="auto"/>
              <w:ind w:left="0" w:hanging="2"/>
              <w:rPr>
                <w:sz w:val="17"/>
                <w:szCs w:val="17"/>
              </w:rPr>
            </w:pPr>
            <w:bookmarkStart w:id="0" w:name="_GoBack"/>
            <w:r>
              <w:rPr>
                <w:i/>
                <w:sz w:val="22"/>
                <w:szCs w:val="22"/>
              </w:rPr>
              <w:t xml:space="preserve"> </w:t>
            </w:r>
            <w:r w:rsidR="00747A7F" w:rsidRPr="00397064">
              <w:rPr>
                <w:i/>
                <w:sz w:val="22"/>
                <w:szCs w:val="22"/>
              </w:rPr>
              <w:t xml:space="preserve"> </w:t>
            </w:r>
            <w:bookmarkEnd w:id="0"/>
            <w:r w:rsidR="00747A7F" w:rsidRPr="00397064">
              <w:rPr>
                <w:i/>
                <w:sz w:val="22"/>
                <w:szCs w:val="22"/>
              </w:rPr>
              <w:t>R</w:t>
            </w:r>
            <w:r w:rsidR="00747A7F" w:rsidRPr="00397064">
              <w:rPr>
                <w:i/>
                <w:sz w:val="22"/>
                <w:szCs w:val="22"/>
                <w:vertAlign w:val="superscript"/>
              </w:rPr>
              <w:t>2</w:t>
            </w:r>
          </w:p>
        </w:tc>
        <w:tc>
          <w:tcPr>
            <w:tcW w:w="830" w:type="dxa"/>
            <w:vMerge w:val="restart"/>
            <w:tcBorders>
              <w:top w:val="single" w:sz="6" w:space="0" w:color="000000"/>
              <w:left w:val="nil"/>
              <w:bottom w:val="single" w:sz="6" w:space="0" w:color="000000"/>
              <w:right w:val="nil"/>
            </w:tcBorders>
            <w:tcMar>
              <w:left w:w="105" w:type="dxa"/>
              <w:right w:w="105" w:type="dxa"/>
            </w:tcMar>
            <w:vAlign w:val="center"/>
          </w:tcPr>
          <w:p w14:paraId="7055C2C0" w14:textId="63472FEA" w:rsidR="006950CD" w:rsidRPr="00397064" w:rsidRDefault="001F68F3">
            <w:pPr>
              <w:keepNext/>
              <w:spacing w:line="240" w:lineRule="auto"/>
              <w:ind w:left="0" w:hanging="2"/>
              <w:rPr>
                <w:sz w:val="17"/>
                <w:szCs w:val="17"/>
              </w:rPr>
            </w:pPr>
            <w:r>
              <w:t xml:space="preserve"> </w:t>
            </w:r>
            <w:r w:rsidR="00747A7F" w:rsidRPr="00397064">
              <w:t xml:space="preserve"> </w:t>
            </w:r>
            <w:r w:rsidR="00747A7F" w:rsidRPr="00397064">
              <w:rPr>
                <w:rFonts w:eastAsia="Gungsuh_MSFontService"/>
                <w:i/>
                <w:sz w:val="22"/>
                <w:szCs w:val="22"/>
              </w:rPr>
              <w:t>∆R</w:t>
            </w:r>
            <w:r w:rsidR="00747A7F" w:rsidRPr="00397064">
              <w:t xml:space="preserve"> </w:t>
            </w:r>
            <w:r w:rsidR="00747A7F" w:rsidRPr="00397064">
              <w:rPr>
                <w:i/>
                <w:sz w:val="22"/>
                <w:szCs w:val="22"/>
                <w:vertAlign w:val="superscript"/>
              </w:rPr>
              <w:t>2</w:t>
            </w:r>
          </w:p>
        </w:tc>
      </w:tr>
      <w:tr w:rsidR="001926A5" w:rsidRPr="001926A5" w14:paraId="3A31941C" w14:textId="77777777">
        <w:trPr>
          <w:cantSplit/>
          <w:trHeight w:val="135"/>
        </w:trPr>
        <w:tc>
          <w:tcPr>
            <w:tcW w:w="3914" w:type="dxa"/>
            <w:vMerge/>
            <w:tcBorders>
              <w:top w:val="single" w:sz="6" w:space="0" w:color="000000"/>
              <w:left w:val="nil"/>
              <w:bottom w:val="single" w:sz="6" w:space="0" w:color="000000"/>
              <w:right w:val="nil"/>
            </w:tcBorders>
            <w:tcMar>
              <w:left w:w="105" w:type="dxa"/>
              <w:right w:w="105" w:type="dxa"/>
            </w:tcMar>
            <w:vAlign w:val="center"/>
          </w:tcPr>
          <w:p w14:paraId="6B70C4BC" w14:textId="77777777" w:rsidR="006950CD" w:rsidRPr="00487DF1" w:rsidRDefault="006950CD">
            <w:pPr>
              <w:widowControl w:val="0"/>
              <w:spacing w:line="276" w:lineRule="auto"/>
              <w:ind w:left="0" w:hanging="2"/>
              <w:jc w:val="left"/>
              <w:rPr>
                <w:sz w:val="17"/>
                <w:szCs w:val="17"/>
              </w:rPr>
            </w:pPr>
          </w:p>
        </w:tc>
        <w:tc>
          <w:tcPr>
            <w:tcW w:w="1675" w:type="dxa"/>
            <w:tcBorders>
              <w:top w:val="nil"/>
              <w:left w:val="nil"/>
              <w:bottom w:val="single" w:sz="6" w:space="0" w:color="000000"/>
              <w:right w:val="nil"/>
            </w:tcBorders>
            <w:tcMar>
              <w:left w:w="105" w:type="dxa"/>
              <w:right w:w="105" w:type="dxa"/>
            </w:tcMar>
          </w:tcPr>
          <w:p w14:paraId="60386405" w14:textId="77777777" w:rsidR="006950CD" w:rsidRPr="00397064" w:rsidRDefault="00747A7F">
            <w:pPr>
              <w:keepNext/>
              <w:spacing w:line="240" w:lineRule="auto"/>
              <w:ind w:left="0" w:hanging="2"/>
              <w:jc w:val="center"/>
              <w:rPr>
                <w:sz w:val="22"/>
                <w:szCs w:val="22"/>
              </w:rPr>
            </w:pPr>
            <w:r w:rsidRPr="00397064">
              <w:rPr>
                <w:sz w:val="22"/>
                <w:szCs w:val="22"/>
              </w:rPr>
              <w:t>Beta</w:t>
            </w:r>
          </w:p>
        </w:tc>
        <w:tc>
          <w:tcPr>
            <w:tcW w:w="934" w:type="dxa"/>
            <w:vMerge/>
            <w:tcBorders>
              <w:top w:val="single" w:sz="6" w:space="0" w:color="000000"/>
              <w:left w:val="nil"/>
              <w:bottom w:val="single" w:sz="6" w:space="0" w:color="000000"/>
              <w:right w:val="nil"/>
            </w:tcBorders>
            <w:tcMar>
              <w:left w:w="105" w:type="dxa"/>
              <w:right w:w="105" w:type="dxa"/>
            </w:tcMar>
            <w:vAlign w:val="center"/>
          </w:tcPr>
          <w:p w14:paraId="6E61FA17" w14:textId="77777777" w:rsidR="006950CD" w:rsidRPr="00487DF1" w:rsidRDefault="006950CD">
            <w:pPr>
              <w:widowControl w:val="0"/>
              <w:spacing w:line="276" w:lineRule="auto"/>
              <w:ind w:left="0" w:hanging="2"/>
              <w:jc w:val="left"/>
              <w:rPr>
                <w:sz w:val="22"/>
                <w:szCs w:val="22"/>
              </w:rPr>
            </w:pPr>
          </w:p>
        </w:tc>
        <w:tc>
          <w:tcPr>
            <w:tcW w:w="830" w:type="dxa"/>
            <w:vMerge/>
            <w:tcBorders>
              <w:top w:val="single" w:sz="6" w:space="0" w:color="000000"/>
              <w:left w:val="nil"/>
              <w:bottom w:val="single" w:sz="6" w:space="0" w:color="000000"/>
              <w:right w:val="nil"/>
            </w:tcBorders>
            <w:tcMar>
              <w:left w:w="105" w:type="dxa"/>
              <w:right w:w="105" w:type="dxa"/>
            </w:tcMar>
            <w:vAlign w:val="center"/>
          </w:tcPr>
          <w:p w14:paraId="3FC4423C" w14:textId="77777777" w:rsidR="006950CD" w:rsidRPr="00487DF1" w:rsidRDefault="006950CD">
            <w:pPr>
              <w:widowControl w:val="0"/>
              <w:spacing w:line="276" w:lineRule="auto"/>
              <w:ind w:left="0" w:hanging="2"/>
              <w:jc w:val="left"/>
              <w:rPr>
                <w:sz w:val="22"/>
                <w:szCs w:val="22"/>
              </w:rPr>
            </w:pPr>
          </w:p>
        </w:tc>
        <w:tc>
          <w:tcPr>
            <w:tcW w:w="830" w:type="dxa"/>
            <w:vMerge/>
            <w:tcBorders>
              <w:top w:val="single" w:sz="6" w:space="0" w:color="000000"/>
              <w:left w:val="nil"/>
              <w:bottom w:val="single" w:sz="6" w:space="0" w:color="000000"/>
              <w:right w:val="nil"/>
            </w:tcBorders>
            <w:tcMar>
              <w:left w:w="105" w:type="dxa"/>
              <w:right w:w="105" w:type="dxa"/>
            </w:tcMar>
            <w:vAlign w:val="center"/>
          </w:tcPr>
          <w:p w14:paraId="672DD7A1" w14:textId="77777777" w:rsidR="006950CD" w:rsidRPr="00487DF1" w:rsidRDefault="006950CD">
            <w:pPr>
              <w:widowControl w:val="0"/>
              <w:spacing w:line="276" w:lineRule="auto"/>
              <w:ind w:left="0" w:hanging="2"/>
              <w:jc w:val="left"/>
              <w:rPr>
                <w:sz w:val="22"/>
                <w:szCs w:val="22"/>
              </w:rPr>
            </w:pPr>
          </w:p>
        </w:tc>
        <w:tc>
          <w:tcPr>
            <w:tcW w:w="830" w:type="dxa"/>
            <w:vMerge/>
            <w:tcBorders>
              <w:top w:val="single" w:sz="6" w:space="0" w:color="000000"/>
              <w:left w:val="nil"/>
              <w:bottom w:val="single" w:sz="6" w:space="0" w:color="000000"/>
              <w:right w:val="nil"/>
            </w:tcBorders>
            <w:tcMar>
              <w:left w:w="105" w:type="dxa"/>
              <w:right w:w="105" w:type="dxa"/>
            </w:tcMar>
            <w:vAlign w:val="center"/>
          </w:tcPr>
          <w:p w14:paraId="64B6218A" w14:textId="77777777" w:rsidR="006950CD" w:rsidRPr="00487DF1" w:rsidRDefault="006950CD">
            <w:pPr>
              <w:widowControl w:val="0"/>
              <w:spacing w:line="276" w:lineRule="auto"/>
              <w:ind w:left="0" w:hanging="2"/>
              <w:jc w:val="left"/>
              <w:rPr>
                <w:sz w:val="22"/>
                <w:szCs w:val="22"/>
              </w:rPr>
            </w:pPr>
          </w:p>
        </w:tc>
      </w:tr>
      <w:tr w:rsidR="001926A5" w:rsidRPr="001926A5" w14:paraId="6A3FD02E" w14:textId="77777777">
        <w:trPr>
          <w:trHeight w:val="240"/>
        </w:trPr>
        <w:tc>
          <w:tcPr>
            <w:tcW w:w="3914" w:type="dxa"/>
            <w:tcBorders>
              <w:top w:val="single" w:sz="6" w:space="0" w:color="000000"/>
              <w:left w:val="nil"/>
              <w:bottom w:val="nil"/>
              <w:right w:val="nil"/>
            </w:tcBorders>
            <w:tcMar>
              <w:left w:w="105" w:type="dxa"/>
              <w:right w:w="105" w:type="dxa"/>
            </w:tcMar>
          </w:tcPr>
          <w:p w14:paraId="1B0BBC02" w14:textId="77777777" w:rsidR="006950CD" w:rsidRPr="00487DF1" w:rsidRDefault="00747A7F">
            <w:pPr>
              <w:keepNext/>
              <w:spacing w:line="240" w:lineRule="auto"/>
              <w:ind w:left="0" w:hanging="2"/>
              <w:rPr>
                <w:sz w:val="22"/>
                <w:szCs w:val="22"/>
              </w:rPr>
            </w:pPr>
            <w:r w:rsidRPr="00487DF1">
              <w:rPr>
                <w:sz w:val="22"/>
                <w:szCs w:val="22"/>
              </w:rPr>
              <w:t>Constante</w:t>
            </w:r>
          </w:p>
          <w:p w14:paraId="2C38574B" w14:textId="77777777" w:rsidR="006950CD" w:rsidRPr="00487DF1" w:rsidRDefault="006950CD">
            <w:pPr>
              <w:keepNext/>
              <w:spacing w:line="240" w:lineRule="auto"/>
              <w:ind w:left="0" w:hanging="2"/>
              <w:rPr>
                <w:sz w:val="22"/>
                <w:szCs w:val="22"/>
              </w:rPr>
            </w:pPr>
          </w:p>
        </w:tc>
        <w:tc>
          <w:tcPr>
            <w:tcW w:w="1675" w:type="dxa"/>
            <w:tcBorders>
              <w:top w:val="single" w:sz="6" w:space="0" w:color="000000"/>
              <w:left w:val="nil"/>
              <w:bottom w:val="nil"/>
              <w:right w:val="nil"/>
            </w:tcBorders>
            <w:tcMar>
              <w:left w:w="105" w:type="dxa"/>
              <w:right w:w="105" w:type="dxa"/>
            </w:tcMar>
          </w:tcPr>
          <w:p w14:paraId="0879A56D" w14:textId="77777777" w:rsidR="006950CD" w:rsidRPr="00487DF1" w:rsidRDefault="00747A7F">
            <w:pPr>
              <w:keepNext/>
              <w:spacing w:line="240" w:lineRule="auto"/>
              <w:ind w:left="0" w:hanging="2"/>
              <w:jc w:val="center"/>
              <w:rPr>
                <w:sz w:val="22"/>
                <w:szCs w:val="22"/>
              </w:rPr>
            </w:pPr>
            <w:r w:rsidRPr="00487DF1">
              <w:rPr>
                <w:sz w:val="22"/>
                <w:szCs w:val="22"/>
              </w:rPr>
              <w:t>-</w:t>
            </w:r>
          </w:p>
        </w:tc>
        <w:tc>
          <w:tcPr>
            <w:tcW w:w="934" w:type="dxa"/>
            <w:tcBorders>
              <w:top w:val="single" w:sz="6" w:space="0" w:color="000000"/>
              <w:left w:val="nil"/>
              <w:bottom w:val="nil"/>
              <w:right w:val="nil"/>
            </w:tcBorders>
            <w:tcMar>
              <w:left w:w="105" w:type="dxa"/>
              <w:right w:w="105" w:type="dxa"/>
            </w:tcMar>
          </w:tcPr>
          <w:p w14:paraId="3DCBFD85" w14:textId="77777777" w:rsidR="006950CD" w:rsidRPr="00487DF1" w:rsidRDefault="00747A7F">
            <w:pPr>
              <w:keepNext/>
              <w:spacing w:line="240" w:lineRule="auto"/>
              <w:ind w:left="0" w:hanging="2"/>
              <w:jc w:val="center"/>
              <w:rPr>
                <w:sz w:val="22"/>
                <w:szCs w:val="22"/>
              </w:rPr>
            </w:pPr>
            <w:r w:rsidRPr="00487DF1">
              <w:rPr>
                <w:sz w:val="22"/>
                <w:szCs w:val="22"/>
              </w:rPr>
              <w:t>21,532</w:t>
            </w:r>
          </w:p>
        </w:tc>
        <w:tc>
          <w:tcPr>
            <w:tcW w:w="830" w:type="dxa"/>
            <w:tcBorders>
              <w:top w:val="single" w:sz="6" w:space="0" w:color="000000"/>
              <w:left w:val="nil"/>
              <w:bottom w:val="nil"/>
              <w:right w:val="nil"/>
            </w:tcBorders>
            <w:tcMar>
              <w:left w:w="105" w:type="dxa"/>
              <w:right w:w="105" w:type="dxa"/>
            </w:tcMar>
          </w:tcPr>
          <w:p w14:paraId="55C9B6A0" w14:textId="77777777" w:rsidR="006950CD" w:rsidRPr="00487DF1" w:rsidRDefault="00747A7F">
            <w:pPr>
              <w:keepNext/>
              <w:spacing w:line="240" w:lineRule="auto"/>
              <w:ind w:left="0" w:hanging="2"/>
              <w:jc w:val="center"/>
              <w:rPr>
                <w:sz w:val="22"/>
                <w:szCs w:val="22"/>
              </w:rPr>
            </w:pPr>
            <w:r w:rsidRPr="00487DF1">
              <w:rPr>
                <w:sz w:val="22"/>
                <w:szCs w:val="22"/>
              </w:rPr>
              <w:t>0,000</w:t>
            </w:r>
          </w:p>
        </w:tc>
        <w:tc>
          <w:tcPr>
            <w:tcW w:w="830" w:type="dxa"/>
            <w:tcBorders>
              <w:top w:val="single" w:sz="6" w:space="0" w:color="000000"/>
              <w:left w:val="nil"/>
              <w:bottom w:val="nil"/>
              <w:right w:val="nil"/>
            </w:tcBorders>
            <w:tcMar>
              <w:left w:w="105" w:type="dxa"/>
              <w:right w:w="105" w:type="dxa"/>
            </w:tcMar>
          </w:tcPr>
          <w:p w14:paraId="366FF3C3" w14:textId="77777777" w:rsidR="006950CD" w:rsidRPr="00487DF1" w:rsidRDefault="00747A7F">
            <w:pPr>
              <w:keepNext/>
              <w:spacing w:line="240" w:lineRule="auto"/>
              <w:ind w:left="0" w:hanging="2"/>
              <w:jc w:val="center"/>
              <w:rPr>
                <w:sz w:val="22"/>
                <w:szCs w:val="22"/>
              </w:rPr>
            </w:pPr>
            <w:r w:rsidRPr="00487DF1">
              <w:rPr>
                <w:sz w:val="22"/>
                <w:szCs w:val="22"/>
              </w:rPr>
              <w:t>-</w:t>
            </w:r>
          </w:p>
        </w:tc>
        <w:tc>
          <w:tcPr>
            <w:tcW w:w="830" w:type="dxa"/>
            <w:tcBorders>
              <w:top w:val="single" w:sz="6" w:space="0" w:color="000000"/>
              <w:left w:val="nil"/>
              <w:bottom w:val="nil"/>
              <w:right w:val="nil"/>
            </w:tcBorders>
            <w:tcMar>
              <w:left w:w="105" w:type="dxa"/>
              <w:right w:w="105" w:type="dxa"/>
            </w:tcMar>
          </w:tcPr>
          <w:p w14:paraId="7FE75F4B" w14:textId="77777777" w:rsidR="006950CD" w:rsidRPr="00487DF1" w:rsidRDefault="00747A7F">
            <w:pPr>
              <w:keepNext/>
              <w:spacing w:line="240" w:lineRule="auto"/>
              <w:ind w:left="0" w:hanging="2"/>
              <w:jc w:val="center"/>
              <w:rPr>
                <w:sz w:val="22"/>
                <w:szCs w:val="22"/>
              </w:rPr>
            </w:pPr>
            <w:r w:rsidRPr="00487DF1">
              <w:rPr>
                <w:sz w:val="22"/>
                <w:szCs w:val="22"/>
              </w:rPr>
              <w:t>-</w:t>
            </w:r>
          </w:p>
        </w:tc>
      </w:tr>
      <w:tr w:rsidR="001926A5" w:rsidRPr="001926A5" w14:paraId="26C30338" w14:textId="77777777">
        <w:trPr>
          <w:trHeight w:val="465"/>
        </w:trPr>
        <w:tc>
          <w:tcPr>
            <w:tcW w:w="3914" w:type="dxa"/>
            <w:tcBorders>
              <w:top w:val="nil"/>
              <w:left w:val="nil"/>
              <w:bottom w:val="nil"/>
              <w:right w:val="nil"/>
            </w:tcBorders>
            <w:tcMar>
              <w:left w:w="105" w:type="dxa"/>
              <w:right w:w="105" w:type="dxa"/>
            </w:tcMar>
          </w:tcPr>
          <w:p w14:paraId="2D22725E" w14:textId="77777777" w:rsidR="006950CD" w:rsidRPr="00487DF1" w:rsidRDefault="00747A7F">
            <w:pPr>
              <w:keepNext/>
              <w:spacing w:line="240" w:lineRule="auto"/>
              <w:ind w:left="0" w:hanging="2"/>
              <w:rPr>
                <w:sz w:val="22"/>
                <w:szCs w:val="22"/>
              </w:rPr>
            </w:pPr>
            <w:r w:rsidRPr="00487DF1">
              <w:rPr>
                <w:sz w:val="22"/>
                <w:szCs w:val="22"/>
              </w:rPr>
              <w:t xml:space="preserve">Histórico de interrupção da TARV por conta própria </w:t>
            </w:r>
          </w:p>
          <w:p w14:paraId="1D8A4B14" w14:textId="77777777" w:rsidR="006950CD" w:rsidRPr="00487DF1" w:rsidRDefault="006950CD">
            <w:pPr>
              <w:keepNext/>
              <w:spacing w:line="240" w:lineRule="auto"/>
              <w:ind w:left="0" w:hanging="2"/>
              <w:rPr>
                <w:sz w:val="22"/>
                <w:szCs w:val="22"/>
              </w:rPr>
            </w:pPr>
          </w:p>
        </w:tc>
        <w:tc>
          <w:tcPr>
            <w:tcW w:w="1675" w:type="dxa"/>
            <w:tcBorders>
              <w:top w:val="nil"/>
              <w:left w:val="nil"/>
              <w:bottom w:val="nil"/>
              <w:right w:val="nil"/>
            </w:tcBorders>
            <w:tcMar>
              <w:left w:w="105" w:type="dxa"/>
              <w:right w:w="105" w:type="dxa"/>
            </w:tcMar>
          </w:tcPr>
          <w:p w14:paraId="5D6F0A51" w14:textId="77777777" w:rsidR="006950CD" w:rsidRPr="00487DF1" w:rsidRDefault="00747A7F">
            <w:pPr>
              <w:keepNext/>
              <w:spacing w:line="240" w:lineRule="auto"/>
              <w:ind w:left="0" w:hanging="2"/>
              <w:jc w:val="center"/>
              <w:rPr>
                <w:sz w:val="22"/>
                <w:szCs w:val="22"/>
              </w:rPr>
            </w:pPr>
            <w:r w:rsidRPr="00487DF1">
              <w:rPr>
                <w:sz w:val="22"/>
                <w:szCs w:val="22"/>
              </w:rPr>
              <w:t>0,37</w:t>
            </w:r>
          </w:p>
        </w:tc>
        <w:tc>
          <w:tcPr>
            <w:tcW w:w="934" w:type="dxa"/>
            <w:tcBorders>
              <w:top w:val="nil"/>
              <w:left w:val="nil"/>
              <w:bottom w:val="nil"/>
              <w:right w:val="nil"/>
            </w:tcBorders>
            <w:tcMar>
              <w:left w:w="105" w:type="dxa"/>
              <w:right w:w="105" w:type="dxa"/>
            </w:tcMar>
          </w:tcPr>
          <w:p w14:paraId="07EBAD48" w14:textId="77777777" w:rsidR="006950CD" w:rsidRPr="00487DF1" w:rsidRDefault="00747A7F">
            <w:pPr>
              <w:keepNext/>
              <w:spacing w:line="240" w:lineRule="auto"/>
              <w:ind w:left="0" w:hanging="2"/>
              <w:jc w:val="center"/>
              <w:rPr>
                <w:sz w:val="22"/>
                <w:szCs w:val="22"/>
              </w:rPr>
            </w:pPr>
            <w:r w:rsidRPr="00487DF1">
              <w:rPr>
                <w:sz w:val="22"/>
                <w:szCs w:val="22"/>
              </w:rPr>
              <w:t>4,88</w:t>
            </w:r>
          </w:p>
        </w:tc>
        <w:tc>
          <w:tcPr>
            <w:tcW w:w="830" w:type="dxa"/>
            <w:tcBorders>
              <w:top w:val="nil"/>
              <w:left w:val="nil"/>
              <w:bottom w:val="nil"/>
              <w:right w:val="nil"/>
            </w:tcBorders>
            <w:tcMar>
              <w:left w:w="105" w:type="dxa"/>
              <w:right w:w="105" w:type="dxa"/>
            </w:tcMar>
          </w:tcPr>
          <w:p w14:paraId="77634D30" w14:textId="77777777" w:rsidR="006950CD" w:rsidRPr="00487DF1" w:rsidRDefault="00747A7F">
            <w:pPr>
              <w:keepNext/>
              <w:spacing w:line="240" w:lineRule="auto"/>
              <w:ind w:left="0" w:hanging="2"/>
              <w:jc w:val="center"/>
              <w:rPr>
                <w:sz w:val="22"/>
                <w:szCs w:val="22"/>
              </w:rPr>
            </w:pPr>
            <w:r w:rsidRPr="00487DF1">
              <w:rPr>
                <w:sz w:val="22"/>
                <w:szCs w:val="22"/>
              </w:rPr>
              <w:t>0,000</w:t>
            </w:r>
          </w:p>
        </w:tc>
        <w:tc>
          <w:tcPr>
            <w:tcW w:w="830" w:type="dxa"/>
            <w:tcBorders>
              <w:top w:val="nil"/>
              <w:left w:val="nil"/>
              <w:bottom w:val="nil"/>
              <w:right w:val="nil"/>
            </w:tcBorders>
            <w:tcMar>
              <w:left w:w="105" w:type="dxa"/>
              <w:right w:w="105" w:type="dxa"/>
            </w:tcMar>
          </w:tcPr>
          <w:p w14:paraId="379526D2" w14:textId="77777777" w:rsidR="006950CD" w:rsidRPr="00487DF1" w:rsidRDefault="00747A7F">
            <w:pPr>
              <w:keepNext/>
              <w:spacing w:line="240" w:lineRule="auto"/>
              <w:ind w:left="0" w:hanging="2"/>
              <w:jc w:val="center"/>
              <w:rPr>
                <w:sz w:val="22"/>
                <w:szCs w:val="22"/>
              </w:rPr>
            </w:pPr>
            <w:r w:rsidRPr="00487DF1">
              <w:rPr>
                <w:sz w:val="22"/>
                <w:szCs w:val="22"/>
              </w:rPr>
              <w:t>0,212</w:t>
            </w:r>
          </w:p>
        </w:tc>
        <w:tc>
          <w:tcPr>
            <w:tcW w:w="830" w:type="dxa"/>
            <w:tcBorders>
              <w:top w:val="nil"/>
              <w:left w:val="nil"/>
              <w:bottom w:val="nil"/>
              <w:right w:val="nil"/>
            </w:tcBorders>
            <w:tcMar>
              <w:left w:w="105" w:type="dxa"/>
              <w:right w:w="105" w:type="dxa"/>
            </w:tcMar>
          </w:tcPr>
          <w:p w14:paraId="6FFF0DD8" w14:textId="77777777" w:rsidR="006950CD" w:rsidRPr="00487DF1" w:rsidRDefault="00747A7F">
            <w:pPr>
              <w:keepNext/>
              <w:spacing w:line="240" w:lineRule="auto"/>
              <w:ind w:left="0" w:hanging="2"/>
              <w:jc w:val="center"/>
              <w:rPr>
                <w:sz w:val="22"/>
                <w:szCs w:val="22"/>
              </w:rPr>
            </w:pPr>
            <w:r w:rsidRPr="00487DF1">
              <w:rPr>
                <w:sz w:val="22"/>
                <w:szCs w:val="22"/>
              </w:rPr>
              <w:t>0,218</w:t>
            </w:r>
          </w:p>
        </w:tc>
      </w:tr>
      <w:tr w:rsidR="001926A5" w:rsidRPr="001926A5" w14:paraId="7E70B8C9" w14:textId="77777777">
        <w:trPr>
          <w:trHeight w:val="240"/>
        </w:trPr>
        <w:tc>
          <w:tcPr>
            <w:tcW w:w="3914" w:type="dxa"/>
            <w:tcBorders>
              <w:top w:val="nil"/>
              <w:left w:val="nil"/>
              <w:bottom w:val="nil"/>
              <w:right w:val="nil"/>
            </w:tcBorders>
            <w:tcMar>
              <w:left w:w="105" w:type="dxa"/>
              <w:right w:w="105" w:type="dxa"/>
            </w:tcMar>
          </w:tcPr>
          <w:p w14:paraId="225F3677" w14:textId="77777777" w:rsidR="006950CD" w:rsidRPr="00487DF1" w:rsidRDefault="00747A7F">
            <w:pPr>
              <w:keepNext/>
              <w:spacing w:line="240" w:lineRule="auto"/>
              <w:ind w:left="0" w:hanging="2"/>
              <w:rPr>
                <w:sz w:val="22"/>
                <w:szCs w:val="22"/>
              </w:rPr>
            </w:pPr>
            <w:r w:rsidRPr="00487DF1">
              <w:rPr>
                <w:sz w:val="22"/>
                <w:szCs w:val="22"/>
              </w:rPr>
              <w:t>Idade em anos</w:t>
            </w:r>
          </w:p>
          <w:p w14:paraId="39B932C5" w14:textId="77777777" w:rsidR="006950CD" w:rsidRPr="00487DF1" w:rsidRDefault="006950CD">
            <w:pPr>
              <w:keepNext/>
              <w:spacing w:line="240" w:lineRule="auto"/>
              <w:ind w:left="0" w:hanging="2"/>
              <w:rPr>
                <w:sz w:val="22"/>
                <w:szCs w:val="22"/>
              </w:rPr>
            </w:pPr>
          </w:p>
        </w:tc>
        <w:tc>
          <w:tcPr>
            <w:tcW w:w="1675" w:type="dxa"/>
            <w:tcBorders>
              <w:top w:val="nil"/>
              <w:left w:val="nil"/>
              <w:bottom w:val="nil"/>
              <w:right w:val="nil"/>
            </w:tcBorders>
            <w:tcMar>
              <w:left w:w="105" w:type="dxa"/>
              <w:right w:w="105" w:type="dxa"/>
            </w:tcMar>
          </w:tcPr>
          <w:p w14:paraId="10DD8A9C" w14:textId="77777777" w:rsidR="006950CD" w:rsidRPr="00487DF1" w:rsidRDefault="00747A7F">
            <w:pPr>
              <w:keepNext/>
              <w:spacing w:line="240" w:lineRule="auto"/>
              <w:ind w:left="0" w:hanging="2"/>
              <w:jc w:val="center"/>
              <w:rPr>
                <w:sz w:val="22"/>
                <w:szCs w:val="22"/>
              </w:rPr>
            </w:pPr>
            <w:r w:rsidRPr="00487DF1">
              <w:rPr>
                <w:sz w:val="22"/>
                <w:szCs w:val="22"/>
              </w:rPr>
              <w:t>0,27</w:t>
            </w:r>
          </w:p>
        </w:tc>
        <w:tc>
          <w:tcPr>
            <w:tcW w:w="934" w:type="dxa"/>
            <w:tcBorders>
              <w:top w:val="nil"/>
              <w:left w:val="nil"/>
              <w:bottom w:val="nil"/>
              <w:right w:val="nil"/>
            </w:tcBorders>
            <w:tcMar>
              <w:left w:w="105" w:type="dxa"/>
              <w:right w:w="105" w:type="dxa"/>
            </w:tcMar>
          </w:tcPr>
          <w:p w14:paraId="1E1B2A63" w14:textId="77777777" w:rsidR="006950CD" w:rsidRPr="00487DF1" w:rsidRDefault="00747A7F">
            <w:pPr>
              <w:keepNext/>
              <w:spacing w:line="240" w:lineRule="auto"/>
              <w:ind w:left="0" w:hanging="2"/>
              <w:jc w:val="center"/>
              <w:rPr>
                <w:sz w:val="22"/>
                <w:szCs w:val="22"/>
              </w:rPr>
            </w:pPr>
            <w:r w:rsidRPr="00487DF1">
              <w:rPr>
                <w:sz w:val="22"/>
                <w:szCs w:val="22"/>
              </w:rPr>
              <w:t>3,67</w:t>
            </w:r>
          </w:p>
        </w:tc>
        <w:tc>
          <w:tcPr>
            <w:tcW w:w="830" w:type="dxa"/>
            <w:tcBorders>
              <w:top w:val="nil"/>
              <w:left w:val="nil"/>
              <w:bottom w:val="nil"/>
              <w:right w:val="nil"/>
            </w:tcBorders>
            <w:tcMar>
              <w:left w:w="105" w:type="dxa"/>
              <w:right w:w="105" w:type="dxa"/>
            </w:tcMar>
          </w:tcPr>
          <w:p w14:paraId="1335D5C9" w14:textId="77777777" w:rsidR="006950CD" w:rsidRPr="00487DF1" w:rsidRDefault="00747A7F">
            <w:pPr>
              <w:keepNext/>
              <w:spacing w:line="240" w:lineRule="auto"/>
              <w:ind w:left="0" w:hanging="2"/>
              <w:jc w:val="center"/>
              <w:rPr>
                <w:sz w:val="22"/>
                <w:szCs w:val="22"/>
              </w:rPr>
            </w:pPr>
            <w:r w:rsidRPr="00487DF1">
              <w:rPr>
                <w:sz w:val="22"/>
                <w:szCs w:val="22"/>
              </w:rPr>
              <w:t>0,000</w:t>
            </w:r>
          </w:p>
        </w:tc>
        <w:tc>
          <w:tcPr>
            <w:tcW w:w="830" w:type="dxa"/>
            <w:tcBorders>
              <w:top w:val="nil"/>
              <w:left w:val="nil"/>
              <w:bottom w:val="nil"/>
              <w:right w:val="nil"/>
            </w:tcBorders>
            <w:tcMar>
              <w:left w:w="105" w:type="dxa"/>
              <w:right w:w="105" w:type="dxa"/>
            </w:tcMar>
          </w:tcPr>
          <w:p w14:paraId="13572DE1" w14:textId="77777777" w:rsidR="006950CD" w:rsidRPr="00487DF1" w:rsidRDefault="00747A7F">
            <w:pPr>
              <w:keepNext/>
              <w:spacing w:line="240" w:lineRule="auto"/>
              <w:ind w:left="0" w:hanging="2"/>
              <w:jc w:val="center"/>
              <w:rPr>
                <w:sz w:val="22"/>
                <w:szCs w:val="22"/>
              </w:rPr>
            </w:pPr>
            <w:r w:rsidRPr="00487DF1">
              <w:rPr>
                <w:sz w:val="22"/>
                <w:szCs w:val="22"/>
              </w:rPr>
              <w:t>0,309</w:t>
            </w:r>
          </w:p>
        </w:tc>
        <w:tc>
          <w:tcPr>
            <w:tcW w:w="830" w:type="dxa"/>
            <w:tcBorders>
              <w:top w:val="nil"/>
              <w:left w:val="nil"/>
              <w:bottom w:val="nil"/>
              <w:right w:val="nil"/>
            </w:tcBorders>
            <w:tcMar>
              <w:left w:w="105" w:type="dxa"/>
              <w:right w:w="105" w:type="dxa"/>
            </w:tcMar>
          </w:tcPr>
          <w:p w14:paraId="1287CA83" w14:textId="77777777" w:rsidR="006950CD" w:rsidRPr="00487DF1" w:rsidRDefault="00747A7F">
            <w:pPr>
              <w:keepNext/>
              <w:spacing w:line="240" w:lineRule="auto"/>
              <w:ind w:left="0" w:hanging="2"/>
              <w:jc w:val="center"/>
              <w:rPr>
                <w:sz w:val="22"/>
                <w:szCs w:val="22"/>
              </w:rPr>
            </w:pPr>
            <w:r w:rsidRPr="00487DF1">
              <w:rPr>
                <w:sz w:val="22"/>
                <w:szCs w:val="22"/>
              </w:rPr>
              <w:t>0,102</w:t>
            </w:r>
          </w:p>
        </w:tc>
      </w:tr>
      <w:tr w:rsidR="001926A5" w:rsidRPr="001926A5" w14:paraId="6CBD837D" w14:textId="77777777">
        <w:trPr>
          <w:trHeight w:val="60"/>
        </w:trPr>
        <w:tc>
          <w:tcPr>
            <w:tcW w:w="3914" w:type="dxa"/>
            <w:tcBorders>
              <w:top w:val="nil"/>
              <w:left w:val="nil"/>
              <w:bottom w:val="single" w:sz="6" w:space="0" w:color="000000"/>
              <w:right w:val="nil"/>
            </w:tcBorders>
            <w:tcMar>
              <w:left w:w="105" w:type="dxa"/>
              <w:right w:w="105" w:type="dxa"/>
            </w:tcMar>
          </w:tcPr>
          <w:p w14:paraId="456DF5E0" w14:textId="77777777" w:rsidR="006950CD" w:rsidRPr="00487DF1" w:rsidRDefault="00747A7F">
            <w:pPr>
              <w:keepNext/>
              <w:spacing w:line="240" w:lineRule="auto"/>
              <w:ind w:left="0" w:hanging="2"/>
              <w:rPr>
                <w:sz w:val="22"/>
                <w:szCs w:val="22"/>
              </w:rPr>
            </w:pPr>
            <w:r w:rsidRPr="00487DF1">
              <w:rPr>
                <w:sz w:val="22"/>
                <w:szCs w:val="22"/>
              </w:rPr>
              <w:t>Risco psicológico de não ajustamento</w:t>
            </w:r>
          </w:p>
          <w:p w14:paraId="267E59C9" w14:textId="77777777" w:rsidR="006950CD" w:rsidRPr="00487DF1" w:rsidRDefault="006950CD">
            <w:pPr>
              <w:keepNext/>
              <w:spacing w:line="240" w:lineRule="auto"/>
              <w:ind w:left="0" w:hanging="2"/>
              <w:rPr>
                <w:sz w:val="22"/>
                <w:szCs w:val="22"/>
              </w:rPr>
            </w:pPr>
          </w:p>
        </w:tc>
        <w:tc>
          <w:tcPr>
            <w:tcW w:w="1675" w:type="dxa"/>
            <w:tcBorders>
              <w:top w:val="nil"/>
              <w:left w:val="nil"/>
              <w:bottom w:val="single" w:sz="6" w:space="0" w:color="000000"/>
              <w:right w:val="nil"/>
            </w:tcBorders>
            <w:tcMar>
              <w:left w:w="105" w:type="dxa"/>
              <w:right w:w="105" w:type="dxa"/>
            </w:tcMar>
          </w:tcPr>
          <w:p w14:paraId="58472B77" w14:textId="77777777" w:rsidR="006950CD" w:rsidRPr="00487DF1" w:rsidRDefault="00747A7F">
            <w:pPr>
              <w:keepNext/>
              <w:spacing w:line="240" w:lineRule="auto"/>
              <w:ind w:left="0" w:hanging="2"/>
              <w:jc w:val="center"/>
              <w:rPr>
                <w:sz w:val="22"/>
                <w:szCs w:val="22"/>
              </w:rPr>
            </w:pPr>
            <w:r w:rsidRPr="00487DF1">
              <w:rPr>
                <w:sz w:val="22"/>
                <w:szCs w:val="22"/>
              </w:rPr>
              <w:t>-0,28</w:t>
            </w:r>
          </w:p>
        </w:tc>
        <w:tc>
          <w:tcPr>
            <w:tcW w:w="934" w:type="dxa"/>
            <w:tcBorders>
              <w:top w:val="nil"/>
              <w:left w:val="nil"/>
              <w:bottom w:val="single" w:sz="6" w:space="0" w:color="000000"/>
              <w:right w:val="nil"/>
            </w:tcBorders>
            <w:tcMar>
              <w:left w:w="105" w:type="dxa"/>
              <w:right w:w="105" w:type="dxa"/>
            </w:tcMar>
          </w:tcPr>
          <w:p w14:paraId="3D5B5DF4" w14:textId="77777777" w:rsidR="006950CD" w:rsidRPr="00487DF1" w:rsidRDefault="00747A7F">
            <w:pPr>
              <w:keepNext/>
              <w:spacing w:line="240" w:lineRule="auto"/>
              <w:ind w:left="0" w:hanging="2"/>
              <w:jc w:val="center"/>
              <w:rPr>
                <w:sz w:val="22"/>
                <w:szCs w:val="22"/>
              </w:rPr>
            </w:pPr>
            <w:r w:rsidRPr="00487DF1">
              <w:rPr>
                <w:sz w:val="22"/>
                <w:szCs w:val="22"/>
              </w:rPr>
              <w:t>-3,49</w:t>
            </w:r>
          </w:p>
        </w:tc>
        <w:tc>
          <w:tcPr>
            <w:tcW w:w="830" w:type="dxa"/>
            <w:tcBorders>
              <w:top w:val="nil"/>
              <w:left w:val="nil"/>
              <w:bottom w:val="single" w:sz="6" w:space="0" w:color="000000"/>
              <w:right w:val="nil"/>
            </w:tcBorders>
            <w:tcMar>
              <w:left w:w="105" w:type="dxa"/>
              <w:right w:w="105" w:type="dxa"/>
            </w:tcMar>
          </w:tcPr>
          <w:p w14:paraId="75303ECA" w14:textId="77777777" w:rsidR="006950CD" w:rsidRPr="00487DF1" w:rsidRDefault="00747A7F">
            <w:pPr>
              <w:keepNext/>
              <w:spacing w:line="240" w:lineRule="auto"/>
              <w:ind w:left="0" w:hanging="2"/>
              <w:jc w:val="center"/>
              <w:rPr>
                <w:sz w:val="22"/>
                <w:szCs w:val="22"/>
              </w:rPr>
            </w:pPr>
            <w:r w:rsidRPr="00487DF1">
              <w:rPr>
                <w:sz w:val="22"/>
                <w:szCs w:val="22"/>
              </w:rPr>
              <w:t>0,001</w:t>
            </w:r>
          </w:p>
        </w:tc>
        <w:tc>
          <w:tcPr>
            <w:tcW w:w="830" w:type="dxa"/>
            <w:tcBorders>
              <w:top w:val="nil"/>
              <w:left w:val="nil"/>
              <w:bottom w:val="single" w:sz="6" w:space="0" w:color="000000"/>
              <w:right w:val="nil"/>
            </w:tcBorders>
            <w:tcMar>
              <w:left w:w="105" w:type="dxa"/>
              <w:right w:w="105" w:type="dxa"/>
            </w:tcMar>
          </w:tcPr>
          <w:p w14:paraId="56E5D3D3" w14:textId="77777777" w:rsidR="006950CD" w:rsidRPr="00487DF1" w:rsidRDefault="00747A7F">
            <w:pPr>
              <w:keepNext/>
              <w:spacing w:line="240" w:lineRule="auto"/>
              <w:ind w:left="0" w:hanging="2"/>
              <w:jc w:val="center"/>
              <w:rPr>
                <w:sz w:val="22"/>
                <w:szCs w:val="22"/>
              </w:rPr>
            </w:pPr>
            <w:r w:rsidRPr="00487DF1">
              <w:rPr>
                <w:sz w:val="22"/>
                <w:szCs w:val="22"/>
              </w:rPr>
              <w:t>0,365</w:t>
            </w:r>
          </w:p>
        </w:tc>
        <w:tc>
          <w:tcPr>
            <w:tcW w:w="830" w:type="dxa"/>
            <w:tcBorders>
              <w:top w:val="nil"/>
              <w:left w:val="nil"/>
              <w:bottom w:val="single" w:sz="6" w:space="0" w:color="000000"/>
              <w:right w:val="nil"/>
            </w:tcBorders>
            <w:tcMar>
              <w:left w:w="105" w:type="dxa"/>
              <w:right w:w="105" w:type="dxa"/>
            </w:tcMar>
          </w:tcPr>
          <w:p w14:paraId="49FC3D03" w14:textId="77777777" w:rsidR="006950CD" w:rsidRPr="00487DF1" w:rsidRDefault="00747A7F">
            <w:pPr>
              <w:keepNext/>
              <w:spacing w:line="240" w:lineRule="auto"/>
              <w:ind w:left="0" w:hanging="2"/>
              <w:jc w:val="center"/>
              <w:rPr>
                <w:sz w:val="22"/>
                <w:szCs w:val="22"/>
              </w:rPr>
            </w:pPr>
            <w:r w:rsidRPr="00487DF1">
              <w:rPr>
                <w:sz w:val="22"/>
                <w:szCs w:val="22"/>
              </w:rPr>
              <w:t>0,060</w:t>
            </w:r>
          </w:p>
        </w:tc>
      </w:tr>
    </w:tbl>
    <w:p w14:paraId="3D6A45BA" w14:textId="38E7B9EF" w:rsidR="006950CD" w:rsidRPr="001926A5" w:rsidRDefault="002E5421" w:rsidP="009D1AE0">
      <w:pPr>
        <w:ind w:leftChars="0" w:left="2" w:hanging="2"/>
      </w:pPr>
      <w:r w:rsidRPr="000E0201">
        <w:rPr>
          <w:i/>
          <w:iCs/>
        </w:rPr>
        <w:t>Nota</w:t>
      </w:r>
      <w:r>
        <w:t xml:space="preserve">. </w:t>
      </w:r>
      <w:r w:rsidRPr="000E0201">
        <w:rPr>
          <w:i/>
        </w:rPr>
        <w:t>N</w:t>
      </w:r>
      <w:r>
        <w:t xml:space="preserve"> = 130 </w:t>
      </w:r>
    </w:p>
    <w:p w14:paraId="37554E53" w14:textId="453B8ED9" w:rsidR="0023668C" w:rsidRPr="001926A5" w:rsidRDefault="00747A7F" w:rsidP="0023668C">
      <w:pPr>
        <w:ind w:leftChars="0" w:left="0" w:firstLineChars="0" w:firstLine="720"/>
      </w:pPr>
      <w:r w:rsidRPr="001926A5">
        <w:t xml:space="preserve">A variável que mais fortemente impactou os níveis de adesão foi </w:t>
      </w:r>
      <w:r w:rsidR="002B7BBB">
        <w:t>a</w:t>
      </w:r>
      <w:r w:rsidRPr="001926A5">
        <w:t xml:space="preserve"> interrupção da TARV por conta própria, </w:t>
      </w:r>
      <w:r w:rsidRPr="001B5DA1">
        <w:t>explicando 21,2</w:t>
      </w:r>
      <w:r w:rsidR="00A70595" w:rsidRPr="001B5DA1">
        <w:t>0</w:t>
      </w:r>
      <w:r w:rsidRPr="001B5DA1">
        <w:t>% do desfecho. As demais variáveis</w:t>
      </w:r>
      <w:r w:rsidR="002130B9" w:rsidRPr="001B5DA1">
        <w:t xml:space="preserve"> –</w:t>
      </w:r>
      <w:r w:rsidRPr="001B5DA1">
        <w:t xml:space="preserve"> idade e risco psicológico de não ajustamento </w:t>
      </w:r>
      <w:r w:rsidR="002130B9" w:rsidRPr="001B5DA1">
        <w:t>–</w:t>
      </w:r>
      <w:r w:rsidRPr="001B5DA1">
        <w:t>, por sua vez, explicaram 15,3</w:t>
      </w:r>
      <w:r w:rsidR="00A70595" w:rsidRPr="001B5DA1">
        <w:t>0</w:t>
      </w:r>
      <w:r w:rsidRPr="001B5DA1">
        <w:t>% da variância</w:t>
      </w:r>
      <w:r w:rsidRPr="001926A5">
        <w:t xml:space="preserve"> da adesão. A variável </w:t>
      </w:r>
      <w:proofErr w:type="spellStart"/>
      <w:r w:rsidRPr="001926A5">
        <w:rPr>
          <w:i/>
        </w:rPr>
        <w:t>distress</w:t>
      </w:r>
      <w:proofErr w:type="spellEnd"/>
      <w:r w:rsidRPr="001926A5">
        <w:t xml:space="preserve"> não entrou no modelo final, pois não obteve beta significativo. Em suma, não ter interrompido a TARV por conta própria ao longo da história de tratamento, ter mais idade </w:t>
      </w:r>
      <w:r w:rsidRPr="001926A5">
        <w:lastRenderedPageBreak/>
        <w:t>e escores indicativos de ausência/baixo risco psicológico de não ajustamento parecem prever melhores níveis de adesão, segundo os resultados do estudo na amostra pesquisada.</w:t>
      </w:r>
    </w:p>
    <w:p w14:paraId="2A240DD2" w14:textId="2AC2B5AD" w:rsidR="006950CD" w:rsidRPr="001926A5" w:rsidRDefault="00747A7F" w:rsidP="00804DA6">
      <w:pPr>
        <w:ind w:left="0" w:hanging="2"/>
        <w:jc w:val="center"/>
      </w:pPr>
      <w:r w:rsidRPr="001926A5">
        <w:rPr>
          <w:b/>
        </w:rPr>
        <w:t>Discussão</w:t>
      </w:r>
      <w:r w:rsidR="001F68F3">
        <w:rPr>
          <w:b/>
        </w:rPr>
        <w:t xml:space="preserve"> </w:t>
      </w:r>
    </w:p>
    <w:p w14:paraId="443307AE" w14:textId="6DFD038B" w:rsidR="006950CD" w:rsidRPr="001926A5" w:rsidRDefault="00747A7F" w:rsidP="00A455BF">
      <w:pPr>
        <w:ind w:leftChars="0" w:left="0" w:firstLineChars="0" w:firstLine="720"/>
      </w:pPr>
      <w:r w:rsidRPr="001926A5">
        <w:t xml:space="preserve">Considerando que o objetivo desta pesquisa foi investigar a influência de variáveis sociodemográficas, médico-clínicas, de risco psicológico e ocorrência de </w:t>
      </w:r>
      <w:proofErr w:type="spellStart"/>
      <w:r w:rsidRPr="001926A5">
        <w:rPr>
          <w:i/>
        </w:rPr>
        <w:t>distress</w:t>
      </w:r>
      <w:proofErr w:type="spellEnd"/>
      <w:r w:rsidRPr="001926A5">
        <w:t xml:space="preserve"> sobre a adesão ao tratamento de PVHIV, observou-se a compatibilidade do perfil da amostra com as tendências epidemiológicas divulgadas na esfera governamental brasileira. No que se refere ao sexo, os participantes tiveram uma maior porcentagem de homens, indo ao encontro da razão de sexo de PVHIV no Brasil: 26 homens para 10 mulheres (</w:t>
      </w:r>
      <w:r w:rsidR="009D1AE0" w:rsidRPr="009D1AE0">
        <w:t>Ministério da Saúde</w:t>
      </w:r>
      <w:r w:rsidRPr="001926A5">
        <w:t>, 2020), razão um pouco maior da observada neste estudo, que foi igual a 1,7.</w:t>
      </w:r>
    </w:p>
    <w:p w14:paraId="74BA889B" w14:textId="2D8CC91F" w:rsidR="001F6076" w:rsidRPr="001926A5" w:rsidRDefault="00747A7F" w:rsidP="00A455BF">
      <w:pPr>
        <w:ind w:leftChars="0" w:left="0" w:firstLineChars="0" w:firstLine="720"/>
      </w:pPr>
      <w:r w:rsidRPr="001926A5">
        <w:t xml:space="preserve">Quanto à faixa etária, constatou-se maior percentual de </w:t>
      </w:r>
      <w:r w:rsidRPr="00487DF1">
        <w:t xml:space="preserve">PVHIV </w:t>
      </w:r>
      <w:r w:rsidR="00547FDD" w:rsidRPr="00487DF1">
        <w:t xml:space="preserve">em pessoas </w:t>
      </w:r>
      <w:r w:rsidRPr="00487DF1">
        <w:t xml:space="preserve">com </w:t>
      </w:r>
      <w:r w:rsidRPr="001926A5">
        <w:t xml:space="preserve">até 37 anos </w:t>
      </w:r>
      <w:r w:rsidRPr="00BB2351">
        <w:t xml:space="preserve">de idade. A variedade etária da amostra expressa a realidade epidemiológica no país, </w:t>
      </w:r>
      <w:r w:rsidR="00DF3786" w:rsidRPr="00BB2351">
        <w:t xml:space="preserve">que revela casos de </w:t>
      </w:r>
      <w:r w:rsidRPr="00BB2351">
        <w:t>adultos jovens</w:t>
      </w:r>
      <w:r w:rsidR="008C4674" w:rsidRPr="00BB2351">
        <w:t>,</w:t>
      </w:r>
      <w:r w:rsidRPr="00BB2351">
        <w:t xml:space="preserve"> com diagnósticos mais recentes</w:t>
      </w:r>
      <w:r w:rsidR="008C4674" w:rsidRPr="00BB2351">
        <w:t>, bem como de</w:t>
      </w:r>
      <w:r w:rsidRPr="00BB2351">
        <w:t xml:space="preserve"> pessoas </w:t>
      </w:r>
      <w:r w:rsidR="008C4674" w:rsidRPr="00BB2351">
        <w:t>com mais idade. Pessoas mais velhas vivendo com HIV resultam da queda da</w:t>
      </w:r>
      <w:r w:rsidRPr="00BB2351">
        <w:t xml:space="preserve"> morbimortalidade </w:t>
      </w:r>
      <w:r w:rsidR="008C4674" w:rsidRPr="00BB2351">
        <w:t xml:space="preserve">por aids no </w:t>
      </w:r>
      <w:r w:rsidR="00E855FE" w:rsidRPr="00BB2351">
        <w:t>Brasil</w:t>
      </w:r>
      <w:r w:rsidR="008C4674" w:rsidRPr="00BB2351">
        <w:t xml:space="preserve">, ocasionando </w:t>
      </w:r>
      <w:r w:rsidRPr="00BB2351">
        <w:t xml:space="preserve">aumento da expectativa e da qualidade de vida (Rachid &amp; </w:t>
      </w:r>
      <w:proofErr w:type="spellStart"/>
      <w:r w:rsidRPr="00BB2351">
        <w:t>Schechter</w:t>
      </w:r>
      <w:proofErr w:type="spellEnd"/>
      <w:r w:rsidRPr="00BB2351">
        <w:t xml:space="preserve">, 2017). </w:t>
      </w:r>
    </w:p>
    <w:p w14:paraId="33179FD1" w14:textId="18FB1C94" w:rsidR="006950CD" w:rsidRPr="00BB2351" w:rsidRDefault="00747A7F" w:rsidP="00A455BF">
      <w:pPr>
        <w:ind w:leftChars="0" w:left="0" w:firstLineChars="0" w:firstLine="720"/>
      </w:pPr>
      <w:r w:rsidRPr="001926A5">
        <w:t>Tais dados também vão ao encontro dos indicadores que mostram maior detecção de casos entre 25 a 29 anos de idade em 2019 (</w:t>
      </w:r>
      <w:r w:rsidR="009D1AE0" w:rsidRPr="009D1AE0">
        <w:t>Ministério da Saúde</w:t>
      </w:r>
      <w:r w:rsidRPr="001926A5">
        <w:t xml:space="preserve">, 2020), com repercussões na redução da média etária do grupo. Os dados sobre escolaridade revelaram que a maioria dos participantes tinha níveis altos: dois terços relataram ensino médio completo até superior completo. Vale mencionar que, </w:t>
      </w:r>
      <w:r w:rsidRPr="00BB2351">
        <w:t xml:space="preserve">enquanto a escolaridade foi alta, a renda familiar foi muito baixa: quase 90% dos participantes referiram renda de até três salários-mínimos, discrepâncias observadas em outro estudo com PVHIV (Seidl &amp; Remor, 2020), atribuídas às condições precárias </w:t>
      </w:r>
      <w:r w:rsidR="008C4674" w:rsidRPr="00BB2351">
        <w:t xml:space="preserve">de </w:t>
      </w:r>
      <w:r w:rsidRPr="00BB2351">
        <w:t xml:space="preserve">renda no país. </w:t>
      </w:r>
    </w:p>
    <w:p w14:paraId="2C5AD1FE" w14:textId="3348C9C6" w:rsidR="001F6076" w:rsidRPr="001926A5" w:rsidRDefault="00747A7F" w:rsidP="00A455BF">
      <w:pPr>
        <w:ind w:leftChars="0" w:left="0" w:firstLineChars="0" w:firstLine="720"/>
      </w:pPr>
      <w:r w:rsidRPr="00BB2351">
        <w:lastRenderedPageBreak/>
        <w:t>Quanto à caracterização médico-clínica, os resultados encontrados eram esperados: tempo de diagnóstico e de TARV com grande amplitude</w:t>
      </w:r>
      <w:r w:rsidR="008C4674" w:rsidRPr="00BB2351">
        <w:t xml:space="preserve"> e variação</w:t>
      </w:r>
      <w:r w:rsidRPr="00BB2351">
        <w:t>, mas com valores médios próximos</w:t>
      </w:r>
      <w:r w:rsidR="008C4674" w:rsidRPr="00BB2351">
        <w:t xml:space="preserve"> (</w:t>
      </w:r>
      <w:r w:rsidRPr="00BB2351">
        <w:t>em torno de oito anos</w:t>
      </w:r>
      <w:r w:rsidR="008C4674" w:rsidRPr="00BB2351">
        <w:t>)</w:t>
      </w:r>
      <w:r w:rsidRPr="00BB2351">
        <w:t xml:space="preserve">, fruto da implementação do protocolo </w:t>
      </w:r>
      <w:proofErr w:type="spellStart"/>
      <w:r w:rsidRPr="00BB2351">
        <w:t>TasP</w:t>
      </w:r>
      <w:proofErr w:type="spellEnd"/>
      <w:r w:rsidRPr="00BB2351">
        <w:t xml:space="preserve">, </w:t>
      </w:r>
      <w:r w:rsidRPr="001926A5">
        <w:t>que preconiza</w:t>
      </w:r>
      <w:r w:rsidR="00637B10">
        <w:t xml:space="preserve"> o</w:t>
      </w:r>
      <w:r w:rsidRPr="001926A5">
        <w:t xml:space="preserve"> início do tratamento antirretroviral tão logo o diagnóstico para o HIV esteja confirmado, independente da contagem de </w:t>
      </w:r>
      <w:r w:rsidRPr="00E05754">
        <w:t>linfócitos T CD4+ e da carga viral plasmática (</w:t>
      </w:r>
      <w:r w:rsidR="009D1AE0" w:rsidRPr="009D1AE0">
        <w:t>Ministério da Saúde</w:t>
      </w:r>
      <w:r w:rsidRPr="00E05754">
        <w:t xml:space="preserve">, 2018). Merece destaque também a alta frequência de pessoas com carga viral indetectável e níveis de linfócitos T CD4 acima de 500 células/mm³, </w:t>
      </w:r>
      <w:r w:rsidR="00B15DB6" w:rsidRPr="00E05754">
        <w:t xml:space="preserve">números </w:t>
      </w:r>
      <w:r w:rsidRPr="00E05754">
        <w:t>observados em outros estudos (</w:t>
      </w:r>
      <w:r w:rsidR="009D1AE0" w:rsidRPr="009D1AE0">
        <w:t>Ministério da Saúde</w:t>
      </w:r>
      <w:r w:rsidRPr="00E05754">
        <w:t xml:space="preserve">, 2020; Seidl &amp; Remor, 2020), que </w:t>
      </w:r>
      <w:r w:rsidR="00B15DB6" w:rsidRPr="00E05754">
        <w:t xml:space="preserve">indicam </w:t>
      </w:r>
      <w:r w:rsidRPr="00E05754">
        <w:t>a eficácia da TARV</w:t>
      </w:r>
      <w:r w:rsidR="00B15DB6" w:rsidRPr="00E05754">
        <w:t xml:space="preserve"> para a maioria dos participantes</w:t>
      </w:r>
      <w:r w:rsidR="00E855FE" w:rsidRPr="00E05754">
        <w:t>.</w:t>
      </w:r>
      <w:r w:rsidRPr="00E05754">
        <w:t xml:space="preserve"> </w:t>
      </w:r>
    </w:p>
    <w:p w14:paraId="3336D88A" w14:textId="632D2FC9" w:rsidR="006950CD" w:rsidRPr="001926A5" w:rsidRDefault="00747A7F" w:rsidP="00A455BF">
      <w:pPr>
        <w:ind w:leftChars="0" w:left="0" w:firstLineChars="0" w:firstLine="720"/>
      </w:pPr>
      <w:r w:rsidRPr="001926A5">
        <w:t>Por fim, a variável história de interrupção do tratamento por conta própria mostrou percentual relativamente elevado: um terço dos participantes com respostas positivas. Essa variável tem evidenciado relação estatisticamente significativa com dificuldades de adesão (Seidl et al., 2007</w:t>
      </w:r>
      <w:r w:rsidRPr="00E05754">
        <w:t xml:space="preserve">). </w:t>
      </w:r>
      <w:r w:rsidR="00547FDD" w:rsidRPr="00E05754">
        <w:t xml:space="preserve">Em estudo com 459 PVHIV, </w:t>
      </w:r>
      <w:r w:rsidRPr="00E05754">
        <w:t>Tufano et al. (2015</w:t>
      </w:r>
      <w:r w:rsidR="00547FDD" w:rsidRPr="00E05754">
        <w:t>)</w:t>
      </w:r>
      <w:r w:rsidRPr="00E05754">
        <w:t xml:space="preserve"> constataram que a interrupção do tratamento por conta própria relacionou-se significativamente </w:t>
      </w:r>
      <w:r w:rsidRPr="001926A5">
        <w:t>com menores contagens de T CD4, além de haver o dobro de probabilidade de apresentar CV detectável. Os pesquisadores também relataram que a interrupção esteve relacionada a níveis crescentes de sintomas de depressão.</w:t>
      </w:r>
      <w:r w:rsidR="001F68F3">
        <w:t xml:space="preserve"> </w:t>
      </w:r>
    </w:p>
    <w:p w14:paraId="5A1DE2C0" w14:textId="2AEB4D5D" w:rsidR="006950CD" w:rsidRPr="001926A5" w:rsidRDefault="00747A7F" w:rsidP="00A455BF">
      <w:pPr>
        <w:ind w:leftChars="0" w:left="0" w:firstLineChars="0" w:firstLine="720"/>
      </w:pPr>
      <w:r w:rsidRPr="001926A5">
        <w:t xml:space="preserve">Nos resultados do IRP obteve-se o escore médio igual a 66,41, com grande amplitude dos valores individuais que variaram de 31 a 119 com desvio-padrão grande, revelando um índice de risco psicológico moderadamente elevado para os participantes, visto que quanto mais alto o seu escore, maior a probabilidade de risco psicológico de não ajustamento. </w:t>
      </w:r>
      <w:r w:rsidR="00B15DB6">
        <w:t xml:space="preserve">Assim, os resultados </w:t>
      </w:r>
      <w:r w:rsidR="00B15DB6" w:rsidRPr="00E05754">
        <w:t>mostraram</w:t>
      </w:r>
      <w:r w:rsidRPr="00E05754">
        <w:t xml:space="preserve"> a diversidade dos escores da amostra, com parte dela </w:t>
      </w:r>
      <w:r w:rsidR="00B15DB6" w:rsidRPr="00E05754">
        <w:t xml:space="preserve">apresentando </w:t>
      </w:r>
      <w:r w:rsidRPr="00E05754">
        <w:t>risco</w:t>
      </w:r>
      <w:r w:rsidR="00B15DB6" w:rsidRPr="00E05754">
        <w:t xml:space="preserve"> de não ajustamento,</w:t>
      </w:r>
      <w:r w:rsidRPr="00E05754">
        <w:t xml:space="preserve"> considerando a percepção da doença, o apoio social, o enfrentamento ativo e o </w:t>
      </w:r>
      <w:proofErr w:type="spellStart"/>
      <w:r w:rsidRPr="00E05754">
        <w:rPr>
          <w:i/>
        </w:rPr>
        <w:t>distress</w:t>
      </w:r>
      <w:proofErr w:type="spellEnd"/>
      <w:r w:rsidRPr="00E05754">
        <w:t xml:space="preserve"> atual, fatores que compõem o </w:t>
      </w:r>
      <w:r w:rsidR="00B15DB6" w:rsidRPr="00E05754">
        <w:t>IRP</w:t>
      </w:r>
      <w:r w:rsidRPr="00E05754">
        <w:t xml:space="preserve">. Merece </w:t>
      </w:r>
      <w:r w:rsidRPr="001926A5">
        <w:t xml:space="preserve">destaque que não há estudos que </w:t>
      </w:r>
      <w:r w:rsidRPr="001926A5">
        <w:lastRenderedPageBreak/>
        <w:t xml:space="preserve">avaliaram essa variável em HIV/aids </w:t>
      </w:r>
      <w:r w:rsidR="00547FDD">
        <w:t>–</w:t>
      </w:r>
      <w:r w:rsidRPr="001926A5">
        <w:t xml:space="preserve"> parece inédita a aplicação do IRP nessa clientela </w:t>
      </w:r>
      <w:r w:rsidR="00547FDD">
        <w:t>–</w:t>
      </w:r>
      <w:r w:rsidRPr="001926A5">
        <w:t>, o que impossibilita a comparação desses resultados com os de outras pesquisas.</w:t>
      </w:r>
      <w:r w:rsidR="001F68F3">
        <w:t xml:space="preserve"> </w:t>
      </w:r>
    </w:p>
    <w:p w14:paraId="4790B791" w14:textId="780CC8D2" w:rsidR="006950CD" w:rsidRPr="001926A5" w:rsidRDefault="00747A7F" w:rsidP="00A455BF">
      <w:pPr>
        <w:ind w:leftChars="0" w:left="0" w:firstLineChars="0" w:firstLine="720"/>
      </w:pPr>
      <w:r w:rsidRPr="001926A5">
        <w:t xml:space="preserve">Quanto à variável </w:t>
      </w:r>
      <w:proofErr w:type="spellStart"/>
      <w:r w:rsidRPr="001926A5">
        <w:rPr>
          <w:i/>
        </w:rPr>
        <w:t>distress</w:t>
      </w:r>
      <w:proofErr w:type="spellEnd"/>
      <w:r w:rsidRPr="001926A5">
        <w:t xml:space="preserve">, medida pela HAD em seu escore global, aspectos semelhantes ao IRP foram observados: diversidade da distribuição, amplitude larga e escore médio não muito elevado. Ao lado de pessoas sem evidências de </w:t>
      </w:r>
      <w:proofErr w:type="spellStart"/>
      <w:r w:rsidRPr="001926A5">
        <w:rPr>
          <w:i/>
        </w:rPr>
        <w:t>distress</w:t>
      </w:r>
      <w:proofErr w:type="spellEnd"/>
      <w:r w:rsidRPr="001926A5">
        <w:t xml:space="preserve">, parte da amostra obteve escores indicativos de vulnerabilidade nessa esfera. Quando o indicador de risco psicológico foi correlacionado com </w:t>
      </w:r>
      <w:proofErr w:type="spellStart"/>
      <w:r w:rsidRPr="001926A5">
        <w:rPr>
          <w:i/>
        </w:rPr>
        <w:t>distress</w:t>
      </w:r>
      <w:proofErr w:type="spellEnd"/>
      <w:r w:rsidRPr="001926A5">
        <w:t xml:space="preserve">, observou-se que níveis mais altos de </w:t>
      </w:r>
      <w:proofErr w:type="spellStart"/>
      <w:r w:rsidRPr="001926A5">
        <w:rPr>
          <w:i/>
        </w:rPr>
        <w:t>distress</w:t>
      </w:r>
      <w:proofErr w:type="spellEnd"/>
      <w:r w:rsidRPr="001926A5">
        <w:t xml:space="preserve"> corresponderam a escores mais altos de risco psicológico de não ajustamento, permitindo inferir que ambos os instrumentos mediram o sofrimento psicológico de forma coerente e convergente, o que vai ao encont</w:t>
      </w:r>
      <w:r w:rsidR="00966431" w:rsidRPr="001926A5">
        <w:t>ro da literatura (</w:t>
      </w:r>
      <w:r w:rsidR="00AA2C22" w:rsidRPr="001926A5">
        <w:t xml:space="preserve">Almeida, 2018; </w:t>
      </w:r>
      <w:r w:rsidRPr="001926A5">
        <w:t xml:space="preserve">Souza et al., 2023). </w:t>
      </w:r>
    </w:p>
    <w:p w14:paraId="15DF0B06" w14:textId="7E145995" w:rsidR="006950CD" w:rsidRPr="001926A5" w:rsidRDefault="00747A7F" w:rsidP="00A455BF">
      <w:pPr>
        <w:ind w:leftChars="0" w:left="0" w:firstLineChars="0" w:firstLine="720"/>
      </w:pPr>
      <w:r w:rsidRPr="001926A5">
        <w:t xml:space="preserve">Na associação com adesão, risco psicológico e </w:t>
      </w:r>
      <w:proofErr w:type="spellStart"/>
      <w:r w:rsidRPr="001926A5">
        <w:rPr>
          <w:i/>
        </w:rPr>
        <w:t>distress</w:t>
      </w:r>
      <w:proofErr w:type="spellEnd"/>
      <w:r w:rsidRPr="001926A5">
        <w:t xml:space="preserve"> apresentaram correlação moderada e negativa, indicando que quanto maiores os níveis de adesão, menor os índices de risco psicológico para não ajustamento e de </w:t>
      </w:r>
      <w:proofErr w:type="spellStart"/>
      <w:r w:rsidRPr="001926A5">
        <w:rPr>
          <w:i/>
        </w:rPr>
        <w:t>distress</w:t>
      </w:r>
      <w:proofErr w:type="spellEnd"/>
      <w:r w:rsidRPr="001926A5">
        <w:t xml:space="preserve"> e vice-versa. Ademais, houve a confirmação das hipóteses do estudo</w:t>
      </w:r>
      <w:r w:rsidRPr="00487DF1">
        <w:t xml:space="preserve">: </w:t>
      </w:r>
      <w:r w:rsidR="0091343F" w:rsidRPr="00487DF1">
        <w:t>(a)</w:t>
      </w:r>
      <w:r w:rsidR="005B183E" w:rsidRPr="00487DF1">
        <w:t xml:space="preserve"> </w:t>
      </w:r>
      <w:r w:rsidRPr="00487DF1">
        <w:t xml:space="preserve">PVHIV </w:t>
      </w:r>
      <w:r w:rsidRPr="001926A5">
        <w:t xml:space="preserve">com níveis de adesão estrita não apresentarão níveis relevantes de </w:t>
      </w:r>
      <w:proofErr w:type="spellStart"/>
      <w:r w:rsidRPr="001926A5">
        <w:rPr>
          <w:i/>
        </w:rPr>
        <w:t>distress</w:t>
      </w:r>
      <w:proofErr w:type="spellEnd"/>
      <w:r w:rsidRPr="001926A5">
        <w:t xml:space="preserve"> e de risco psicológico de não ajustamento; </w:t>
      </w:r>
      <w:r w:rsidR="0091343F">
        <w:t>(b)</w:t>
      </w:r>
      <w:r w:rsidRPr="001926A5">
        <w:t xml:space="preserve"> </w:t>
      </w:r>
      <w:r w:rsidR="00637B10" w:rsidRPr="00C256D2">
        <w:t>a</w:t>
      </w:r>
      <w:r w:rsidRPr="00C256D2">
        <w:t xml:space="preserve"> variável antecedente</w:t>
      </w:r>
      <w:r w:rsidR="00637B10" w:rsidRPr="00C256D2">
        <w:t xml:space="preserve"> </w:t>
      </w:r>
      <w:r w:rsidR="00E05754" w:rsidRPr="00C256D2">
        <w:t>(</w:t>
      </w:r>
      <w:r w:rsidRPr="00C256D2">
        <w:t>interrupção do tratamento por conta própria</w:t>
      </w:r>
      <w:r w:rsidR="00E05754" w:rsidRPr="00C256D2">
        <w:t>)</w:t>
      </w:r>
      <w:r w:rsidR="00637B10" w:rsidRPr="00C256D2">
        <w:t xml:space="preserve"> </w:t>
      </w:r>
      <w:r w:rsidRPr="00C256D2">
        <w:t>será preditora da adesão ao tratamento</w:t>
      </w:r>
      <w:r w:rsidR="00A82EE0" w:rsidRPr="00C256D2">
        <w:t xml:space="preserve"> –</w:t>
      </w:r>
      <w:r w:rsidRPr="00C256D2">
        <w:t xml:space="preserve"> ausência de interrupção estará associada a níveis mais altos de adesão.</w:t>
      </w:r>
    </w:p>
    <w:p w14:paraId="28B69463" w14:textId="77777777" w:rsidR="006950CD" w:rsidRPr="001926A5" w:rsidRDefault="00747A7F" w:rsidP="00A455BF">
      <w:pPr>
        <w:ind w:leftChars="0" w:left="0" w:firstLineChars="0" w:firstLine="720"/>
      </w:pPr>
      <w:r w:rsidRPr="001926A5">
        <w:t xml:space="preserve">Porém, é indispensável considerar as evidências da manifestação do sofrimento psicológico, que pode propiciar transtornos mentais como resposta ao adoecimento, uma vez que se trata de um vírus de difícil controle e sem perspectiva de cura, além das manifestações de preconceito frequentemente vivenciados por PVHIV (Nogueira &amp; Seidl, 2016). As equipes de saúde precisam estar atentas a esses aspectos. </w:t>
      </w:r>
    </w:p>
    <w:p w14:paraId="7F675E12" w14:textId="5376C5EC" w:rsidR="006950CD" w:rsidRPr="001926A5" w:rsidRDefault="00747A7F" w:rsidP="00A455BF">
      <w:pPr>
        <w:ind w:leftChars="0" w:left="0" w:firstLineChars="0" w:firstLine="720"/>
      </w:pPr>
      <w:r w:rsidRPr="00E05754">
        <w:t>A</w:t>
      </w:r>
      <w:r w:rsidR="006E2D02" w:rsidRPr="00E05754">
        <w:t xml:space="preserve"> partir dos escores brutos do CEAT-VIH, a </w:t>
      </w:r>
      <w:r w:rsidRPr="00E05754">
        <w:t xml:space="preserve">análise da adesão revelou que houve uma tendência para níveis de adesão satisfatória na amostra </w:t>
      </w:r>
      <w:r w:rsidRPr="001926A5">
        <w:t>(</w:t>
      </w:r>
      <w:r w:rsidRPr="001926A5">
        <w:rPr>
          <w:i/>
        </w:rPr>
        <w:t>M</w:t>
      </w:r>
      <w:r w:rsidR="005B183E">
        <w:rPr>
          <w:i/>
        </w:rPr>
        <w:t xml:space="preserve"> </w:t>
      </w:r>
      <w:r w:rsidRPr="001926A5">
        <w:t>=</w:t>
      </w:r>
      <w:r w:rsidR="005B183E">
        <w:t xml:space="preserve"> </w:t>
      </w:r>
      <w:r w:rsidRPr="00DF3786">
        <w:t>75,</w:t>
      </w:r>
      <w:r w:rsidR="00DF3786" w:rsidRPr="00DF3786">
        <w:t>0</w:t>
      </w:r>
      <w:r w:rsidRPr="00DF3786">
        <w:t>5),</w:t>
      </w:r>
      <w:r w:rsidRPr="001926A5">
        <w:t xml:space="preserve"> considerando que o </w:t>
      </w:r>
      <w:r w:rsidRPr="001926A5">
        <w:lastRenderedPageBreak/>
        <w:t xml:space="preserve">instrumento apresenta uma pontuação total igual a 89 pontos como valor máximo. Observando os dados categorizados — adesão estrita </w:t>
      </w:r>
      <w:r w:rsidRPr="001926A5">
        <w:rPr>
          <w:i/>
        </w:rPr>
        <w:t xml:space="preserve">versus </w:t>
      </w:r>
      <w:r w:rsidRPr="001926A5">
        <w:t>não estrita/insuficiente — 41 participantes (31%) ficaram no primeiro grupo. Essa frequência é modesta</w:t>
      </w:r>
      <w:r w:rsidR="006E2D02">
        <w:t>,</w:t>
      </w:r>
      <w:r w:rsidRPr="001926A5">
        <w:t xml:space="preserve"> tendo em vista o grande número de pessoas com carga viral indetectável. Resultados semelhantes foram obtidos por outros pesquisadores que usaram o CEAT-VIH (Oliveira et al., 2020; Seidl &amp; Remor, 2020; P</w:t>
      </w:r>
      <w:r w:rsidR="000A4840">
        <w:t>ri</w:t>
      </w:r>
      <w:r w:rsidRPr="001926A5">
        <w:t>meira et al., 2018). No caso de P</w:t>
      </w:r>
      <w:r w:rsidR="000A4840">
        <w:t>ri</w:t>
      </w:r>
      <w:r w:rsidRPr="001926A5">
        <w:t>meira et al. (2018), a frequência de adesão estrita foi bem mais baixa (</w:t>
      </w:r>
      <w:r w:rsidRPr="00DF3786">
        <w:t>16,9</w:t>
      </w:r>
      <w:r w:rsidR="00DF3786" w:rsidRPr="00DF3786">
        <w:t>0</w:t>
      </w:r>
      <w:r w:rsidRPr="00DF3786">
        <w:t>%).</w:t>
      </w:r>
      <w:r w:rsidRPr="001926A5">
        <w:t xml:space="preserve"> Seidl e Remor (2020), que também identificaram percentual ainda menor ao do presente estudo em adesão </w:t>
      </w:r>
      <w:r w:rsidRPr="00DF3786">
        <w:t>estrita (22,6</w:t>
      </w:r>
      <w:r w:rsidR="00DF3786" w:rsidRPr="00DF3786">
        <w:t>4</w:t>
      </w:r>
      <w:r w:rsidRPr="00DF3786">
        <w:t>%),</w:t>
      </w:r>
      <w:r w:rsidRPr="001926A5">
        <w:t xml:space="preserve"> comentaram: </w:t>
      </w:r>
    </w:p>
    <w:p w14:paraId="3B90DD03" w14:textId="77777777" w:rsidR="006950CD" w:rsidRPr="001926A5" w:rsidRDefault="00747A7F" w:rsidP="000E0201">
      <w:pPr>
        <w:ind w:leftChars="0" w:left="720" w:firstLineChars="0" w:firstLine="0"/>
      </w:pPr>
      <w:r w:rsidRPr="001926A5">
        <w:t xml:space="preserve">O fato de o CEAT-VIH ser um instrumento que parte do conceito multidimensional de adesão e adota níveis rigorosos na avaliação dessa conduta (indo além da observância e do cumprimento) fez com que um percentual relativamente alto nessa amostra fosse classificado com adesão insuficiente (não estrita) (p. 9). </w:t>
      </w:r>
    </w:p>
    <w:p w14:paraId="3F7B9B53" w14:textId="1A52C6DB" w:rsidR="006950CD" w:rsidRPr="001926A5" w:rsidRDefault="00747A7F" w:rsidP="00F608C0">
      <w:pPr>
        <w:ind w:leftChars="0" w:left="0" w:firstLineChars="0" w:firstLine="720"/>
      </w:pPr>
      <w:r w:rsidRPr="001926A5">
        <w:t>Na análise de regressão múltipla, os resultados revelaram que a variável critério adesão ao tratamento teve três preditores significativos:</w:t>
      </w:r>
      <w:r w:rsidR="00393698">
        <w:t xml:space="preserve"> </w:t>
      </w:r>
      <w:r w:rsidR="00DA6506">
        <w:t>(a</w:t>
      </w:r>
      <w:r w:rsidR="00007A57">
        <w:t xml:space="preserve">) </w:t>
      </w:r>
      <w:r w:rsidRPr="001926A5">
        <w:t xml:space="preserve">não ter histórico de interrupção da TARV por conta própria ao longo do tratamento, </w:t>
      </w:r>
      <w:r w:rsidR="00DA6506">
        <w:t>(b</w:t>
      </w:r>
      <w:r w:rsidR="00007A57">
        <w:t xml:space="preserve">) </w:t>
      </w:r>
      <w:r w:rsidRPr="001926A5">
        <w:t xml:space="preserve">ter mais idade e </w:t>
      </w:r>
      <w:r w:rsidR="00DA6506">
        <w:t>(c</w:t>
      </w:r>
      <w:r w:rsidR="00007A57">
        <w:t xml:space="preserve">) </w:t>
      </w:r>
      <w:r w:rsidRPr="001926A5">
        <w:t xml:space="preserve">escores indicativos de ausência/baixo índice de risco psicológico de não ajustamento. No entanto, o percentual de variância explicada foi modesto, sugerindo a existência de outros aspectos que podem influenciar a adesão, não pesquisados no estudo. </w:t>
      </w:r>
      <w:r w:rsidR="00F608C0" w:rsidRPr="001926A5">
        <w:t>Destaca-se que, em estudos futuros, merece atenção a análise sobre estigma (Luz et al., 2020), pois este ainda é frequente em relação a PVHIV, fonte de sofrimento psíquico e de exclusão social, podendo ter efeitos negativos sobre a adesão em HIV/aids.</w:t>
      </w:r>
    </w:p>
    <w:p w14:paraId="040293D3" w14:textId="4A17D3C4" w:rsidR="006950CD" w:rsidRPr="001926A5" w:rsidRDefault="00747A7F" w:rsidP="00A455BF">
      <w:pPr>
        <w:ind w:leftChars="0" w:left="0" w:firstLineChars="0" w:firstLine="720"/>
      </w:pPr>
      <w:r w:rsidRPr="001926A5">
        <w:t xml:space="preserve">Essa hipótese do estudo </w:t>
      </w:r>
      <w:r w:rsidRPr="00E05754">
        <w:t xml:space="preserve">foi confirmada, mas </w:t>
      </w:r>
      <w:r w:rsidR="00DF3786" w:rsidRPr="00E05754">
        <w:t>há necessidade de algumas ponderações</w:t>
      </w:r>
      <w:r w:rsidRPr="00E05754">
        <w:t xml:space="preserve">. </w:t>
      </w:r>
      <w:r w:rsidRPr="001926A5">
        <w:t xml:space="preserve">Provavelmente, PVHIV mais velhos (de adultos maduros a idosos), com mais tempo de tratamento e de TARV, desenvolveram estratégias de enfrentamento adaptativas, possuem </w:t>
      </w:r>
      <w:r w:rsidRPr="001926A5">
        <w:lastRenderedPageBreak/>
        <w:t>percepção de não ameaça da doença, com repercussões positivas nos níveis de adesão. Efeitos da idade sobre a adesão também foram observados por outros pesquisadores (Seidl &amp; Remor, 2020; Silva et al., 2022). O histórico de interrupção do tratamento por conta própria parece ampliar as chances de adesão irregular ou mesmo de abandono do tratamento, confirmando a hipótese desta variável como preditora do comportamento de adesão. Tal dado revela maior vulnerabilidade de PVHIV com histórico de interrupção para a ocorrência de dificuldades de adesão. As equipes de saúde devem estar atentas de modo a prevenir essas rupturas, acompanhando e acolhendo essas pessoas (Singh et al., 2021).</w:t>
      </w:r>
      <w:r w:rsidR="001F68F3">
        <w:t xml:space="preserve"> </w:t>
      </w:r>
    </w:p>
    <w:p w14:paraId="71EDC2DE" w14:textId="513B0AC7" w:rsidR="006950CD" w:rsidRPr="00E05754" w:rsidRDefault="00747A7F" w:rsidP="00A455BF">
      <w:pPr>
        <w:ind w:leftChars="0" w:left="0" w:firstLineChars="0" w:firstLine="720"/>
      </w:pPr>
      <w:r w:rsidRPr="00E05754">
        <w:t xml:space="preserve">Por fim, considerando que o IRP </w:t>
      </w:r>
      <w:r w:rsidR="001969FD" w:rsidRPr="00E05754">
        <w:t>revelou</w:t>
      </w:r>
      <w:r w:rsidRPr="00E05754">
        <w:t xml:space="preserve"> dados sobre pacientes que podem apresentar risco de má adaptação psicológica ao adoecimento, somad</w:t>
      </w:r>
      <w:r w:rsidR="00B15DB6" w:rsidRPr="00E05754">
        <w:t>o</w:t>
      </w:r>
      <w:r w:rsidRPr="00E05754">
        <w:t xml:space="preserve"> </w:t>
      </w:r>
      <w:r w:rsidR="001969FD" w:rsidRPr="00E05754">
        <w:t xml:space="preserve">à ocorrência de </w:t>
      </w:r>
      <w:r w:rsidRPr="00E05754">
        <w:t xml:space="preserve">comorbidades psicopatológicas, </w:t>
      </w:r>
      <w:r w:rsidR="001969FD" w:rsidRPr="00E05754">
        <w:t>e sua</w:t>
      </w:r>
      <w:r w:rsidRPr="00E05754">
        <w:t xml:space="preserve"> associação com adesão insuficiente</w:t>
      </w:r>
      <w:r w:rsidR="001969FD" w:rsidRPr="00E05754">
        <w:t xml:space="preserve"> ao tratamento</w:t>
      </w:r>
      <w:r w:rsidRPr="00E05754">
        <w:t>, reforça-se a necessidade de</w:t>
      </w:r>
      <w:r w:rsidR="001969FD" w:rsidRPr="00E05754">
        <w:t xml:space="preserve"> uma</w:t>
      </w:r>
      <w:r w:rsidRPr="00E05754">
        <w:t xml:space="preserve"> </w:t>
      </w:r>
      <w:r w:rsidR="001969FD" w:rsidRPr="00E05754">
        <w:t>atenção</w:t>
      </w:r>
      <w:r w:rsidRPr="00E05754">
        <w:t xml:space="preserve"> interdisciplinar e contínua por parte dos serviços de saúde, garanti</w:t>
      </w:r>
      <w:r w:rsidR="001969FD" w:rsidRPr="00E05754">
        <w:t>ndo</w:t>
      </w:r>
      <w:r w:rsidRPr="00E05754">
        <w:t xml:space="preserve"> um atendimento integral e de qualidade a PVHIV, visando melhores níveis de adesão. </w:t>
      </w:r>
    </w:p>
    <w:p w14:paraId="4959A7D9" w14:textId="3C99F226" w:rsidR="006950CD" w:rsidRPr="001926A5" w:rsidRDefault="00747A7F" w:rsidP="000E0201">
      <w:pPr>
        <w:ind w:left="0" w:hanging="2"/>
        <w:jc w:val="center"/>
      </w:pPr>
      <w:r w:rsidRPr="001926A5">
        <w:rPr>
          <w:b/>
        </w:rPr>
        <w:t>Considerações Finais</w:t>
      </w:r>
    </w:p>
    <w:p w14:paraId="0F890A93" w14:textId="77777777" w:rsidR="006950CD" w:rsidRPr="001926A5" w:rsidRDefault="00747A7F" w:rsidP="00F608C0">
      <w:pPr>
        <w:ind w:leftChars="0" w:left="0" w:firstLineChars="0" w:firstLine="720"/>
      </w:pPr>
      <w:r w:rsidRPr="001926A5">
        <w:t xml:space="preserve">Ao longo desta pesquisa, foi ressaltada a importância do fator adesão ao tratamento de PVHIV, principalmente por se tratar de um problema de saúde pública, por mais que haja a evolução de tecnologias para seu controle clínico e políticas de acesso ao tratamento. Em sua dinamicidade, a adesão se apresenta permeada por diversas variáveis que podem se comportar como fator de risco ou de proteção. </w:t>
      </w:r>
    </w:p>
    <w:p w14:paraId="7332179B" w14:textId="1B49249D" w:rsidR="006950CD" w:rsidRDefault="00747A7F" w:rsidP="00F608C0">
      <w:pPr>
        <w:ind w:leftChars="0" w:left="0" w:firstLineChars="0" w:firstLine="720"/>
      </w:pPr>
      <w:r w:rsidRPr="001926A5">
        <w:t xml:space="preserve">Merece destaque que os instrumentos utilizados se apresentaram de forma fidedigna ao medirem o que se propõem, sendo possível observar evidências de validade satisfatórias do IRP quando correlacionado à HAD e ao CEAT-VIH. Porém, será necessário, para análise fatorial exploratória do instrumento junto a PVHIV, pesquisas futuras com amostras maiores e </w:t>
      </w:r>
      <w:r w:rsidRPr="001926A5">
        <w:lastRenderedPageBreak/>
        <w:t xml:space="preserve">diversificadas, pacientes em internação ou em tratamento ambulatorial. Por fim, é importante salientar que altos índices de risco psicológico para não ajustamento e presença de </w:t>
      </w:r>
      <w:proofErr w:type="spellStart"/>
      <w:r w:rsidRPr="001926A5">
        <w:rPr>
          <w:i/>
        </w:rPr>
        <w:t>distress</w:t>
      </w:r>
      <w:proofErr w:type="spellEnd"/>
      <w:r w:rsidRPr="001926A5">
        <w:rPr>
          <w:i/>
        </w:rPr>
        <w:t xml:space="preserve"> </w:t>
      </w:r>
      <w:r w:rsidRPr="001926A5">
        <w:t>podem contribuir para níveis de adesão insuficientes. O estudo tem implicações práticas na atenção em HIV/aids, alertando para a relevância de medidas de cuidado, acolhimento e avaliação psicossocial a serem inseridas nas rotinas dos serviços de saúde, no intuito de prevenir dificuldades de adesão ao longo do tratamento e manutenção da adesão estrita.</w:t>
      </w:r>
    </w:p>
    <w:p w14:paraId="49FF050A" w14:textId="77777777" w:rsidR="00E05754" w:rsidRDefault="00E05754">
      <w:pPr>
        <w:suppressAutoHyphens w:val="0"/>
        <w:ind w:leftChars="0" w:left="0" w:firstLineChars="0" w:firstLine="720"/>
        <w:textDirection w:val="lrTb"/>
        <w:textAlignment w:val="auto"/>
        <w:outlineLvl w:val="9"/>
        <w:rPr>
          <w:b/>
        </w:rPr>
      </w:pPr>
      <w:r>
        <w:rPr>
          <w:b/>
        </w:rPr>
        <w:br w:type="page"/>
      </w:r>
    </w:p>
    <w:p w14:paraId="63C08E64" w14:textId="4C85F46E" w:rsidR="006950CD" w:rsidRPr="00C312FE" w:rsidRDefault="00747A7F" w:rsidP="00804DA6">
      <w:pPr>
        <w:keepNext/>
        <w:ind w:left="0" w:hanging="2"/>
        <w:jc w:val="center"/>
      </w:pPr>
      <w:r w:rsidRPr="00C312FE">
        <w:rPr>
          <w:b/>
        </w:rPr>
        <w:lastRenderedPageBreak/>
        <w:t>Referências</w:t>
      </w:r>
    </w:p>
    <w:p w14:paraId="6D23808C" w14:textId="6347EE44" w:rsidR="008B4224" w:rsidRPr="00A24255" w:rsidRDefault="00747A7F" w:rsidP="00C312FE">
      <w:pPr>
        <w:ind w:leftChars="0" w:left="720" w:firstLineChars="0" w:hanging="720"/>
      </w:pPr>
      <w:r w:rsidRPr="00C312FE">
        <w:t>Almeida, R. F. M. (2018</w:t>
      </w:r>
      <w:r w:rsidRPr="00A24255">
        <w:t xml:space="preserve">). </w:t>
      </w:r>
      <w:proofErr w:type="spellStart"/>
      <w:r w:rsidRPr="00A24255">
        <w:rPr>
          <w:i/>
        </w:rPr>
        <w:t>Distress</w:t>
      </w:r>
      <w:proofErr w:type="spellEnd"/>
      <w:r w:rsidRPr="00A24255">
        <w:rPr>
          <w:i/>
        </w:rPr>
        <w:t xml:space="preserve"> psicológico e gestão do regime terapêutico em utentes portadores de HIV/SIDA no Norte de Portugal</w:t>
      </w:r>
      <w:r w:rsidRPr="00A24255">
        <w:t xml:space="preserve">. [Dissertação de </w:t>
      </w:r>
      <w:r w:rsidR="00D90ABD" w:rsidRPr="00A24255">
        <w:t>M</w:t>
      </w:r>
      <w:r w:rsidRPr="00A24255">
        <w:t>estrado</w:t>
      </w:r>
      <w:r w:rsidR="00FA2E48" w:rsidRPr="00A24255">
        <w:t>,</w:t>
      </w:r>
      <w:r w:rsidRPr="00A24255">
        <w:t xml:space="preserve"> Escola Superior de Enfermagem do Porto].</w:t>
      </w:r>
      <w:r w:rsidR="00F8758F" w:rsidRPr="00A24255">
        <w:t xml:space="preserve"> Repositório institucional</w:t>
      </w:r>
      <w:r w:rsidR="001A5881" w:rsidRPr="00A24255">
        <w:t xml:space="preserve"> ESEP.</w:t>
      </w:r>
      <w:r w:rsidR="00D90ABD" w:rsidRPr="00A24255">
        <w:t xml:space="preserve"> </w:t>
      </w:r>
      <w:hyperlink r:id="rId9" w:history="1">
        <w:r w:rsidR="00D90ABD" w:rsidRPr="00A24255">
          <w:rPr>
            <w:rStyle w:val="Hyperlink"/>
            <w:color w:val="auto"/>
          </w:rPr>
          <w:t>http://hdl.handle.net/10400.26/25741</w:t>
        </w:r>
      </w:hyperlink>
    </w:p>
    <w:p w14:paraId="06075C1F" w14:textId="6BFB32D3" w:rsidR="008B4224" w:rsidRPr="00A24255" w:rsidRDefault="00747A7F" w:rsidP="00C312FE">
      <w:pPr>
        <w:ind w:leftChars="0" w:left="720" w:firstLineChars="0" w:hanging="720"/>
      </w:pPr>
      <w:proofErr w:type="spellStart"/>
      <w:r w:rsidRPr="00A24255">
        <w:t>Bonolo</w:t>
      </w:r>
      <w:proofErr w:type="spellEnd"/>
      <w:r w:rsidRPr="00A24255">
        <w:t>, P.</w:t>
      </w:r>
      <w:r w:rsidR="001F68F3">
        <w:t xml:space="preserve"> </w:t>
      </w:r>
      <w:r w:rsidRPr="00A24255">
        <w:t xml:space="preserve">F., Gomes, R. R. F. M., &amp; Guimarães, M. D. C. (2007). Adesão à terapia antirretroviral (HIV/aids): </w:t>
      </w:r>
      <w:r w:rsidR="00521F14" w:rsidRPr="00A24255">
        <w:t>F</w:t>
      </w:r>
      <w:r w:rsidRPr="00A24255">
        <w:t xml:space="preserve">atores associados e medidas da adesão. </w:t>
      </w:r>
      <w:r w:rsidRPr="00A24255">
        <w:rPr>
          <w:i/>
        </w:rPr>
        <w:t>Epidemiologia e Serviço de Saúde</w:t>
      </w:r>
      <w:r w:rsidRPr="00A24255">
        <w:t xml:space="preserve">, </w:t>
      </w:r>
      <w:r w:rsidRPr="00A24255">
        <w:rPr>
          <w:i/>
        </w:rPr>
        <w:t>16</w:t>
      </w:r>
      <w:r w:rsidRPr="00A24255">
        <w:t xml:space="preserve">(4), 261–278. </w:t>
      </w:r>
      <w:hyperlink r:id="rId10">
        <w:r w:rsidRPr="00A24255">
          <w:rPr>
            <w:u w:val="single"/>
          </w:rPr>
          <w:t>http://dx.doi.org/10.5123/S1679-49742007000400005</w:t>
        </w:r>
      </w:hyperlink>
      <w:r w:rsidRPr="00A24255">
        <w:t xml:space="preserve"> </w:t>
      </w:r>
    </w:p>
    <w:p w14:paraId="6365BBE5" w14:textId="77777777" w:rsidR="008B4224" w:rsidRPr="00A24255" w:rsidRDefault="00747A7F" w:rsidP="00C312FE">
      <w:pPr>
        <w:ind w:leftChars="0" w:left="720" w:firstLineChars="0" w:hanging="720"/>
      </w:pPr>
      <w:r w:rsidRPr="00A24255">
        <w:t xml:space="preserve">Botega, N. J., </w:t>
      </w:r>
      <w:proofErr w:type="spellStart"/>
      <w:r w:rsidRPr="00A24255">
        <w:t>Bio</w:t>
      </w:r>
      <w:proofErr w:type="spellEnd"/>
      <w:r w:rsidRPr="00A24255">
        <w:t xml:space="preserve">, M. R., </w:t>
      </w:r>
      <w:proofErr w:type="spellStart"/>
      <w:r w:rsidRPr="00A24255">
        <w:t>Zomignani</w:t>
      </w:r>
      <w:proofErr w:type="spellEnd"/>
      <w:r w:rsidRPr="00A24255">
        <w:t xml:space="preserve">, M. A., Garcia, C., Jr., &amp; Pereira W. A. B. (1995). Transtornos do humor em enfermaria de clínica médica e validação de escala de medida (HAD) de ansiedade e depressão. </w:t>
      </w:r>
      <w:r w:rsidRPr="00A24255">
        <w:rPr>
          <w:i/>
        </w:rPr>
        <w:t>Revista de Saúde Pública</w:t>
      </w:r>
      <w:r w:rsidRPr="00A24255">
        <w:t xml:space="preserve">, </w:t>
      </w:r>
      <w:r w:rsidRPr="00A24255">
        <w:rPr>
          <w:i/>
        </w:rPr>
        <w:t>29</w:t>
      </w:r>
      <w:r w:rsidRPr="00A24255">
        <w:t xml:space="preserve">(4), 355–363. </w:t>
      </w:r>
      <w:hyperlink r:id="rId11">
        <w:r w:rsidRPr="00A24255">
          <w:rPr>
            <w:u w:val="single"/>
          </w:rPr>
          <w:t>http://www.scielo.br/pdf/rsp/v29n5/04.pdf</w:t>
        </w:r>
      </w:hyperlink>
    </w:p>
    <w:p w14:paraId="180B3350" w14:textId="1E290A3B" w:rsidR="009D1AE0" w:rsidRPr="00A24255" w:rsidRDefault="009D1AE0" w:rsidP="009D1AE0">
      <w:pPr>
        <w:ind w:leftChars="0" w:left="720" w:firstLineChars="0" w:hanging="720"/>
      </w:pPr>
      <w:r w:rsidRPr="00A24255">
        <w:t xml:space="preserve">Ministério da Saúde. (2008). </w:t>
      </w:r>
      <w:r w:rsidRPr="00A24255">
        <w:rPr>
          <w:i/>
          <w:iCs/>
        </w:rPr>
        <w:t>Manual de adesão ao tratamento para pessoas vivendo com HIV e Aids</w:t>
      </w:r>
      <w:r w:rsidRPr="00A24255">
        <w:t xml:space="preserve"> (Série Normas e Manuais Técnicos). Secretaria de Vigilância em Saúde; Programa Nacional de DST e AIDS. </w:t>
      </w:r>
      <w:hyperlink r:id="rId12" w:history="1">
        <w:r w:rsidRPr="00A24255">
          <w:rPr>
            <w:rStyle w:val="Hyperlink"/>
            <w:color w:val="auto"/>
          </w:rPr>
          <w:t>http://www.aids.gov.br/pt-br/pub/2008/manual-de-adesao-ao-tratamento-para-pessoas-vivendo-com-hiv-e-aids-2008</w:t>
        </w:r>
      </w:hyperlink>
    </w:p>
    <w:p w14:paraId="00BC32D2" w14:textId="3C8BD5D5" w:rsidR="009D1AE0" w:rsidRPr="00A24255" w:rsidRDefault="009D1AE0" w:rsidP="009D1AE0">
      <w:pPr>
        <w:ind w:leftChars="0" w:left="720" w:firstLineChars="0" w:hanging="720"/>
      </w:pPr>
      <w:r w:rsidRPr="00A24255">
        <w:t xml:space="preserve">Ministério da Saúde. (2018). </w:t>
      </w:r>
      <w:r w:rsidRPr="00A24255">
        <w:rPr>
          <w:i/>
          <w:iCs/>
        </w:rPr>
        <w:t>Protocolo clínico e diretrizes terapêuticas para manejo da infecção pelo HIV em adultos</w:t>
      </w:r>
      <w:r w:rsidRPr="00A24255">
        <w:t xml:space="preserve">. Departamento de Doenças de Condições Crônicas e Infecções Sexualmente Transmissíveis. </w:t>
      </w:r>
      <w:hyperlink r:id="rId13" w:history="1">
        <w:r w:rsidRPr="00A24255">
          <w:rPr>
            <w:rStyle w:val="Hyperlink"/>
            <w:color w:val="auto"/>
          </w:rPr>
          <w:t>http://www.aids.gov.br/pt-br/pub/2013/protocolo-clinico-e-diretrizes-terapeuticas-para-manejo-da-infeccao-pelo-hiv-em-adultos</w:t>
        </w:r>
      </w:hyperlink>
    </w:p>
    <w:p w14:paraId="4EF662F4" w14:textId="44972352" w:rsidR="009D1AE0" w:rsidRPr="00A24255" w:rsidRDefault="009D1AE0" w:rsidP="009D1AE0">
      <w:pPr>
        <w:ind w:leftChars="0" w:left="720" w:firstLineChars="0" w:hanging="720"/>
      </w:pPr>
      <w:r w:rsidRPr="00A24255">
        <w:t xml:space="preserve">Ministério da Saúde. (2019). </w:t>
      </w:r>
      <w:r w:rsidRPr="00A24255">
        <w:rPr>
          <w:i/>
          <w:iCs/>
        </w:rPr>
        <w:t>Nota informativa nº 5/2019-DIAHV/SVS/MS: Prevenção e controle das infecções sexualmente transmissíveis, do HIV/Aids e das hepatites virais</w:t>
      </w:r>
      <w:r w:rsidRPr="00A24255">
        <w:t xml:space="preserve">. </w:t>
      </w:r>
      <w:r w:rsidRPr="00A24255">
        <w:lastRenderedPageBreak/>
        <w:t xml:space="preserve">Secretaria de Vigilância em Saúde. </w:t>
      </w:r>
      <w:hyperlink r:id="rId14" w:history="1">
        <w:r w:rsidRPr="00A24255">
          <w:rPr>
            <w:rStyle w:val="Hyperlink"/>
            <w:color w:val="auto"/>
          </w:rPr>
          <w:t>https://www.gov.br/aids/pt-br/centrais-de-conteudo/notas-informativas/2019/nota_informativa_5_2019_diahv_svs_ms-informa_sobre_o_conceito_do_termo_indetectavel.pdf</w:t>
        </w:r>
      </w:hyperlink>
    </w:p>
    <w:p w14:paraId="5D3EFB1D" w14:textId="236082B6" w:rsidR="009D1AE0" w:rsidRPr="00A24255" w:rsidRDefault="009D1AE0" w:rsidP="009D1AE0">
      <w:pPr>
        <w:ind w:leftChars="0" w:left="720" w:firstLineChars="0" w:hanging="720"/>
      </w:pPr>
      <w:r w:rsidRPr="00A24255">
        <w:t xml:space="preserve">Ministério da Saúde. (2020). </w:t>
      </w:r>
      <w:r w:rsidRPr="00A24255">
        <w:rPr>
          <w:i/>
          <w:iCs/>
        </w:rPr>
        <w:t>Boletim epidemiológico HIV/Aids 2020</w:t>
      </w:r>
      <w:r w:rsidRPr="00A24255">
        <w:t xml:space="preserve">. Departamento de Doenças de Condições Crônicas e Infecções Sexualmente Transmissíveis. </w:t>
      </w:r>
      <w:hyperlink r:id="rId15" w:history="1">
        <w:r w:rsidRPr="00A24255">
          <w:rPr>
            <w:rStyle w:val="Hyperlink"/>
            <w:color w:val="auto"/>
          </w:rPr>
          <w:t>http://www.aids.gov.br/pt-br/pub/2020/boletim-epidemiologico-hivaids-2020</w:t>
        </w:r>
      </w:hyperlink>
    </w:p>
    <w:p w14:paraId="75610D04" w14:textId="21606950" w:rsidR="008B4224" w:rsidRPr="00A24255" w:rsidRDefault="009D1AE0" w:rsidP="00C312FE">
      <w:pPr>
        <w:ind w:leftChars="0" w:left="720" w:firstLineChars="0" w:hanging="720"/>
      </w:pPr>
      <w:r w:rsidRPr="00A24255">
        <w:t>C</w:t>
      </w:r>
      <w:r w:rsidR="00747A7F" w:rsidRPr="00A24255">
        <w:t>arvalho, P. P., Barroso, S. M., Coelho, H. C., &amp; Penaforte, F. R. O. (2019). </w:t>
      </w:r>
      <w:r w:rsidR="00747A7F" w:rsidRPr="00A24255">
        <w:rPr>
          <w:lang w:val="en-US"/>
        </w:rPr>
        <w:t xml:space="preserve">Factors associated with antiretroviral therapy adherence in adults: </w:t>
      </w:r>
      <w:proofErr w:type="gramStart"/>
      <w:r w:rsidR="00D90ABD" w:rsidRPr="00A24255">
        <w:rPr>
          <w:lang w:val="en-US"/>
        </w:rPr>
        <w:t>A</w:t>
      </w:r>
      <w:proofErr w:type="gramEnd"/>
      <w:r w:rsidR="00393698" w:rsidRPr="00A24255">
        <w:rPr>
          <w:lang w:val="en-US"/>
        </w:rPr>
        <w:t xml:space="preserve"> integrative</w:t>
      </w:r>
      <w:r w:rsidR="00747A7F" w:rsidRPr="00A24255">
        <w:rPr>
          <w:lang w:val="en-US"/>
        </w:rPr>
        <w:t xml:space="preserve"> review of literature. </w:t>
      </w:r>
      <w:r w:rsidR="00747A7F" w:rsidRPr="00A24255">
        <w:rPr>
          <w:i/>
        </w:rPr>
        <w:t>Ciência e Saúde Coletiva, 24</w:t>
      </w:r>
      <w:r w:rsidR="00747A7F" w:rsidRPr="00A24255">
        <w:t>(7), 2543–2555.</w:t>
      </w:r>
      <w:r w:rsidR="001F68F3">
        <w:t xml:space="preserve"> </w:t>
      </w:r>
      <w:hyperlink r:id="rId16" w:history="1">
        <w:r w:rsidR="00786AE6" w:rsidRPr="00A24255">
          <w:rPr>
            <w:rStyle w:val="Hyperlink"/>
            <w:color w:val="auto"/>
          </w:rPr>
          <w:t>https://doi.org/10.1590/1413-81232018247.22312017</w:t>
        </w:r>
      </w:hyperlink>
    </w:p>
    <w:p w14:paraId="273D3C7A" w14:textId="55DCC65E" w:rsidR="008B4224" w:rsidRPr="00A24255" w:rsidRDefault="00747A7F" w:rsidP="00C312FE">
      <w:pPr>
        <w:ind w:leftChars="0" w:left="720" w:firstLineChars="0" w:hanging="720"/>
      </w:pPr>
      <w:r w:rsidRPr="00A24255">
        <w:t>Castro, E. K., &amp; Remor, E. (</w:t>
      </w:r>
      <w:proofErr w:type="spellStart"/>
      <w:r w:rsidRPr="00A24255">
        <w:t>Orgs</w:t>
      </w:r>
      <w:proofErr w:type="spellEnd"/>
      <w:r w:rsidRPr="00A24255">
        <w:t xml:space="preserve">.). (2018). </w:t>
      </w:r>
      <w:r w:rsidRPr="00A24255">
        <w:rPr>
          <w:i/>
        </w:rPr>
        <w:t>Bases teóricas da psicologia da saúde</w:t>
      </w:r>
      <w:r w:rsidRPr="00A24255">
        <w:t xml:space="preserve">. </w:t>
      </w:r>
      <w:proofErr w:type="spellStart"/>
      <w:r w:rsidRPr="00A24255">
        <w:t>Appris</w:t>
      </w:r>
      <w:proofErr w:type="spellEnd"/>
      <w:r w:rsidRPr="00A24255">
        <w:t>.</w:t>
      </w:r>
    </w:p>
    <w:p w14:paraId="7345EF0E" w14:textId="56F7FABA" w:rsidR="008B4224" w:rsidRPr="00A24255" w:rsidRDefault="00747A7F" w:rsidP="00C312FE">
      <w:pPr>
        <w:ind w:leftChars="0" w:left="720" w:firstLineChars="0" w:hanging="720"/>
        <w:rPr>
          <w:lang w:val="en-US"/>
        </w:rPr>
      </w:pPr>
      <w:r w:rsidRPr="00A24255">
        <w:t>Costa, J. M., Torres, T. S., Coelho, L. E., &amp; Luz, P. M. (2018).</w:t>
      </w:r>
      <w:r w:rsidR="001F68F3">
        <w:t xml:space="preserve"> </w:t>
      </w:r>
      <w:r w:rsidRPr="00A24255">
        <w:rPr>
          <w:lang w:val="en-US"/>
        </w:rPr>
        <w:t xml:space="preserve">Adherence to antiretroviral therapy for HIV/AIDS in Latin America and the Caribbean: Systematic review and meta-analysis. </w:t>
      </w:r>
      <w:r w:rsidRPr="00A24255">
        <w:rPr>
          <w:i/>
          <w:lang w:val="en-US"/>
        </w:rPr>
        <w:t>Journal of the International AIDS Society, 1</w:t>
      </w:r>
      <w:r w:rsidRPr="00A24255">
        <w:rPr>
          <w:lang w:val="en-US"/>
        </w:rPr>
        <w:t xml:space="preserve">, </w:t>
      </w:r>
      <w:proofErr w:type="spellStart"/>
      <w:r w:rsidR="001B7834" w:rsidRPr="00A24255">
        <w:rPr>
          <w:lang w:val="en-US"/>
        </w:rPr>
        <w:t>Artigo</w:t>
      </w:r>
      <w:proofErr w:type="spellEnd"/>
      <w:r w:rsidR="001B7834" w:rsidRPr="00A24255">
        <w:rPr>
          <w:lang w:val="en-US"/>
        </w:rPr>
        <w:t xml:space="preserve"> </w:t>
      </w:r>
      <w:r w:rsidRPr="00A24255">
        <w:rPr>
          <w:lang w:val="en-US"/>
        </w:rPr>
        <w:t xml:space="preserve">e25066. </w:t>
      </w:r>
      <w:hyperlink r:id="rId17">
        <w:r w:rsidRPr="00A24255">
          <w:rPr>
            <w:u w:val="single"/>
            <w:lang w:val="en-US"/>
          </w:rPr>
          <w:t>http://dx.doi.org/10.1002/jia2.25066</w:t>
        </w:r>
      </w:hyperlink>
      <w:r w:rsidRPr="00A24255">
        <w:rPr>
          <w:lang w:val="en-US"/>
        </w:rPr>
        <w:t xml:space="preserve"> </w:t>
      </w:r>
    </w:p>
    <w:p w14:paraId="4B982171" w14:textId="77777777" w:rsidR="00FB0C31" w:rsidRPr="00A24255" w:rsidRDefault="00747A7F" w:rsidP="00FB0C31">
      <w:pPr>
        <w:ind w:leftChars="0" w:left="720" w:firstLineChars="0" w:hanging="720"/>
        <w:rPr>
          <w:lang w:val="en-US"/>
        </w:rPr>
      </w:pPr>
      <w:r w:rsidRPr="00A24255">
        <w:rPr>
          <w:lang w:val="en-US"/>
        </w:rPr>
        <w:t xml:space="preserve">Hull, M., Lange, J., &amp; Montaner, J. S. (2014). Treatment as prevention – Where next? </w:t>
      </w:r>
      <w:r w:rsidRPr="00A24255">
        <w:rPr>
          <w:i/>
          <w:lang w:val="en-US"/>
        </w:rPr>
        <w:t>Current HIV/AIDS Reports, 11</w:t>
      </w:r>
      <w:r w:rsidRPr="00A24255">
        <w:rPr>
          <w:lang w:val="en-US"/>
        </w:rPr>
        <w:t xml:space="preserve">(4), 496–504. </w:t>
      </w:r>
      <w:r w:rsidRPr="00A24255">
        <w:rPr>
          <w:u w:val="single"/>
          <w:lang w:val="en-US"/>
        </w:rPr>
        <w:t>https://doi.org/</w:t>
      </w:r>
      <w:hyperlink r:id="rId18">
        <w:r w:rsidRPr="00A24255">
          <w:rPr>
            <w:u w:val="single"/>
            <w:lang w:val="en-US"/>
          </w:rPr>
          <w:t>10.1007/s11904-014-0237-5</w:t>
        </w:r>
      </w:hyperlink>
    </w:p>
    <w:p w14:paraId="2174C6C1" w14:textId="2D7C2B1A" w:rsidR="008B4224" w:rsidRPr="00A24255" w:rsidRDefault="00747A7F" w:rsidP="00FB0C31">
      <w:pPr>
        <w:ind w:leftChars="0" w:left="720" w:firstLineChars="0" w:hanging="720"/>
      </w:pPr>
      <w:r w:rsidRPr="00A24255">
        <w:rPr>
          <w:lang w:val="en-US"/>
        </w:rPr>
        <w:t xml:space="preserve">Luckett, T., Butow, P. N., King, M. T., Oguchi, M., Heading, G., Hackl, N. A., Rankin, N., &amp; Price, M. A. (2010). A review and recommendations for optimal outcome measures of anxiety, depression and general distress in studies evaluating psychosocial interventions for </w:t>
      </w:r>
      <w:proofErr w:type="spellStart"/>
      <w:r w:rsidR="00FB0C31" w:rsidRPr="00A24255">
        <w:rPr>
          <w:lang w:val="en-US"/>
        </w:rPr>
        <w:t>e</w:t>
      </w:r>
      <w:r w:rsidRPr="00A24255">
        <w:rPr>
          <w:lang w:val="en-US"/>
        </w:rPr>
        <w:t>nglish-speaking</w:t>
      </w:r>
      <w:proofErr w:type="spellEnd"/>
      <w:r w:rsidRPr="00A24255">
        <w:rPr>
          <w:lang w:val="en-US"/>
        </w:rPr>
        <w:t xml:space="preserve"> adults with heterogeneous cancer diagnoses. </w:t>
      </w:r>
      <w:r w:rsidRPr="00A24255">
        <w:rPr>
          <w:i/>
          <w:lang w:val="en-US"/>
        </w:rPr>
        <w:t>Supportive Care in Cancer: Official Journal of the Multinational Association of Supportive Care in Cancer</w:t>
      </w:r>
      <w:r w:rsidRPr="00A24255">
        <w:rPr>
          <w:lang w:val="en-US"/>
        </w:rPr>
        <w:t xml:space="preserve">, </w:t>
      </w:r>
      <w:r w:rsidRPr="00A24255">
        <w:rPr>
          <w:i/>
          <w:lang w:val="en-US"/>
        </w:rPr>
        <w:t>18</w:t>
      </w:r>
      <w:r w:rsidRPr="00A24255">
        <w:rPr>
          <w:lang w:val="en-US"/>
        </w:rPr>
        <w:t xml:space="preserve">(10), 1241–1262. </w:t>
      </w:r>
      <w:hyperlink r:id="rId19">
        <w:r w:rsidRPr="00A24255">
          <w:rPr>
            <w:u w:val="single"/>
          </w:rPr>
          <w:t>https://doi.org/10.1007/s00520-010-0932-8</w:t>
        </w:r>
      </w:hyperlink>
    </w:p>
    <w:p w14:paraId="1B82A040" w14:textId="34FA2824" w:rsidR="00966431" w:rsidRPr="00A24255" w:rsidRDefault="00966431" w:rsidP="00C312FE">
      <w:pPr>
        <w:ind w:leftChars="0" w:left="720" w:firstLineChars="0" w:hanging="720"/>
        <w:textDirection w:val="lrTb"/>
        <w:rPr>
          <w:lang w:val="en-US"/>
        </w:rPr>
      </w:pPr>
      <w:r w:rsidRPr="00A24255">
        <w:lastRenderedPageBreak/>
        <w:t xml:space="preserve">Luz, P. M., Torres, T. S., Almeida-Brasil, C. C., Marins, L. M. S., Bezerra, D. R. B., Veloso, V. G., </w:t>
      </w:r>
      <w:proofErr w:type="spellStart"/>
      <w:r w:rsidRPr="00A24255">
        <w:t>Grinsztejn</w:t>
      </w:r>
      <w:proofErr w:type="spellEnd"/>
      <w:r w:rsidRPr="00A24255">
        <w:t xml:space="preserve">, B., Harel, D., &amp; </w:t>
      </w:r>
      <w:proofErr w:type="spellStart"/>
      <w:r w:rsidRPr="00A24255">
        <w:t>Thombs</w:t>
      </w:r>
      <w:proofErr w:type="spellEnd"/>
      <w:r w:rsidRPr="00A24255">
        <w:t xml:space="preserve">, B. D. (2020). </w:t>
      </w:r>
      <w:r w:rsidRPr="00A24255">
        <w:rPr>
          <w:lang w:val="en-US"/>
        </w:rPr>
        <w:t xml:space="preserve">Translation and validation of the Short HIV Stigma Scale in Brazilian Portuguese. </w:t>
      </w:r>
      <w:r w:rsidRPr="00A24255">
        <w:rPr>
          <w:i/>
          <w:iCs/>
          <w:lang w:val="en-US"/>
        </w:rPr>
        <w:t>Health and Quality of Life Outcomes</w:t>
      </w:r>
      <w:r w:rsidRPr="00A24255">
        <w:rPr>
          <w:lang w:val="en-US"/>
        </w:rPr>
        <w:t xml:space="preserve">, </w:t>
      </w:r>
      <w:r w:rsidRPr="00A24255">
        <w:rPr>
          <w:i/>
          <w:iCs/>
          <w:lang w:val="en-US"/>
        </w:rPr>
        <w:t>18</w:t>
      </w:r>
      <w:r w:rsidRPr="00A24255">
        <w:rPr>
          <w:lang w:val="en-US"/>
        </w:rPr>
        <w:t>(</w:t>
      </w:r>
      <w:r w:rsidR="00667132" w:rsidRPr="00A24255">
        <w:rPr>
          <w:lang w:val="en-US"/>
        </w:rPr>
        <w:t>322</w:t>
      </w:r>
      <w:r w:rsidRPr="00A24255">
        <w:rPr>
          <w:lang w:val="en-US"/>
        </w:rPr>
        <w:t>)</w:t>
      </w:r>
      <w:r w:rsidR="00660132" w:rsidRPr="00A24255">
        <w:rPr>
          <w:lang w:val="en-US"/>
        </w:rPr>
        <w:t>.</w:t>
      </w:r>
      <w:r w:rsidRPr="00A24255">
        <w:rPr>
          <w:lang w:val="en-US"/>
        </w:rPr>
        <w:t xml:space="preserve"> </w:t>
      </w:r>
      <w:hyperlink r:id="rId20" w:history="1">
        <w:r w:rsidRPr="00A24255">
          <w:rPr>
            <w:rStyle w:val="Hyperlink"/>
            <w:color w:val="auto"/>
            <w:lang w:val="en-US"/>
          </w:rPr>
          <w:t>https://doi.org/10.1186/s12955-020-01571-1</w:t>
        </w:r>
      </w:hyperlink>
    </w:p>
    <w:p w14:paraId="17F9ACD6" w14:textId="0F0B1450" w:rsidR="008B4224" w:rsidRPr="00A24255" w:rsidRDefault="00747A7F" w:rsidP="00C312FE">
      <w:pPr>
        <w:ind w:leftChars="0" w:left="720" w:firstLineChars="0" w:hanging="720"/>
        <w:rPr>
          <w:lang w:val="en-US"/>
        </w:rPr>
      </w:pPr>
      <w:r w:rsidRPr="00A24255">
        <w:rPr>
          <w:lang w:val="de-DE"/>
        </w:rPr>
        <w:t xml:space="preserve">Niu, L., Luo, D., Chen, X., Wang, M., Zhou, W., Zhang, D., &amp; Xiao, S. (2019). </w:t>
      </w:r>
      <w:r w:rsidRPr="00A24255">
        <w:rPr>
          <w:lang w:val="en-US"/>
        </w:rPr>
        <w:t xml:space="preserve">Longitudinal trajectories of emotional problems and unmet mental health needs among people newly diagnosed with HIV in China. </w:t>
      </w:r>
      <w:r w:rsidRPr="00A24255">
        <w:rPr>
          <w:i/>
          <w:lang w:val="en-US"/>
        </w:rPr>
        <w:t>Journal of the International AIDS Society</w:t>
      </w:r>
      <w:r w:rsidRPr="00A24255">
        <w:rPr>
          <w:lang w:val="en-US"/>
        </w:rPr>
        <w:t xml:space="preserve">, </w:t>
      </w:r>
      <w:r w:rsidRPr="00A24255">
        <w:rPr>
          <w:i/>
          <w:lang w:val="en-US"/>
        </w:rPr>
        <w:t>22</w:t>
      </w:r>
      <w:r w:rsidRPr="00A24255">
        <w:rPr>
          <w:lang w:val="en-US"/>
        </w:rPr>
        <w:t xml:space="preserve">(8), </w:t>
      </w:r>
      <w:proofErr w:type="spellStart"/>
      <w:r w:rsidR="00660132" w:rsidRPr="00A24255">
        <w:rPr>
          <w:lang w:val="en-US"/>
        </w:rPr>
        <w:t>Artigo</w:t>
      </w:r>
      <w:proofErr w:type="spellEnd"/>
      <w:r w:rsidR="00660132" w:rsidRPr="00A24255">
        <w:rPr>
          <w:lang w:val="en-US"/>
        </w:rPr>
        <w:t xml:space="preserve"> </w:t>
      </w:r>
      <w:r w:rsidRPr="00A24255">
        <w:rPr>
          <w:lang w:val="en-US"/>
        </w:rPr>
        <w:t xml:space="preserve">e25332. </w:t>
      </w:r>
      <w:hyperlink r:id="rId21">
        <w:r w:rsidRPr="00A24255">
          <w:rPr>
            <w:u w:val="single"/>
            <w:lang w:val="en-US"/>
          </w:rPr>
          <w:t>https://doi.org/10.1002/jia2.25332</w:t>
        </w:r>
      </w:hyperlink>
      <w:r w:rsidRPr="00A24255">
        <w:rPr>
          <w:lang w:val="en-US"/>
        </w:rPr>
        <w:t xml:space="preserve"> </w:t>
      </w:r>
    </w:p>
    <w:p w14:paraId="60685599" w14:textId="1622220D" w:rsidR="008B4224" w:rsidRPr="00A24255" w:rsidRDefault="00747A7F" w:rsidP="00C312FE">
      <w:pPr>
        <w:ind w:leftChars="0" w:left="720" w:firstLineChars="0" w:hanging="720"/>
      </w:pPr>
      <w:r w:rsidRPr="00A24255">
        <w:t xml:space="preserve">Nogueira, S. G., &amp; Seidl, E. M. F. (2016). Associação entre percepção de doença e ansiedade, depressão e autoeficácia em pessoas com HIV/Aids. </w:t>
      </w:r>
      <w:r w:rsidRPr="00A24255">
        <w:rPr>
          <w:i/>
        </w:rPr>
        <w:t>Temas em Psicologia</w:t>
      </w:r>
      <w:r w:rsidRPr="00A24255">
        <w:t xml:space="preserve">, </w:t>
      </w:r>
      <w:r w:rsidRPr="00A24255">
        <w:rPr>
          <w:i/>
        </w:rPr>
        <w:t>24</w:t>
      </w:r>
      <w:r w:rsidR="00E523D4">
        <w:t>(2), 595</w:t>
      </w:r>
      <w:r w:rsidR="00E523D4" w:rsidRPr="00A24255">
        <w:t>–</w:t>
      </w:r>
      <w:r w:rsidRPr="00A24255">
        <w:t xml:space="preserve">608. </w:t>
      </w:r>
      <w:hyperlink r:id="rId22">
        <w:r w:rsidRPr="00A24255">
          <w:rPr>
            <w:u w:val="single"/>
          </w:rPr>
          <w:t>http://dx.doi.org/10.9788/TP2016.2-12</w:t>
        </w:r>
      </w:hyperlink>
    </w:p>
    <w:p w14:paraId="1DA8AFD7" w14:textId="77777777" w:rsidR="008B4224" w:rsidRPr="00A24255" w:rsidRDefault="00747A7F" w:rsidP="00C312FE">
      <w:pPr>
        <w:ind w:leftChars="0" w:left="720" w:firstLineChars="0" w:hanging="720"/>
      </w:pPr>
      <w:r w:rsidRPr="00A24255">
        <w:t xml:space="preserve">Nogueira, F. R. N., Pellegrino, P., Duarte, A. S., Inoue, S. R. V., &amp; </w:t>
      </w:r>
      <w:proofErr w:type="spellStart"/>
      <w:r w:rsidRPr="00A24255">
        <w:t>Marqueze</w:t>
      </w:r>
      <w:proofErr w:type="spellEnd"/>
      <w:r w:rsidRPr="00A24255">
        <w:t xml:space="preserve">, E. C. (2019). Transtornos mentais comuns estão associados a maior carga viral em pessoas vivendo com HIV. </w:t>
      </w:r>
      <w:r w:rsidRPr="00A24255">
        <w:rPr>
          <w:i/>
        </w:rPr>
        <w:t>Saúde em Debate, 43</w:t>
      </w:r>
      <w:r w:rsidRPr="00A24255">
        <w:t xml:space="preserve">(121), 464–476. </w:t>
      </w:r>
      <w:hyperlink r:id="rId23">
        <w:r w:rsidRPr="00A24255">
          <w:rPr>
            <w:u w:val="single"/>
          </w:rPr>
          <w:t>https://doi.org/10.1590/0103-1104201912114</w:t>
        </w:r>
      </w:hyperlink>
      <w:r w:rsidRPr="00A24255">
        <w:t xml:space="preserve"> </w:t>
      </w:r>
    </w:p>
    <w:p w14:paraId="6B6E9C1A" w14:textId="4FFEC1AE" w:rsidR="008B4224" w:rsidRPr="00A24255" w:rsidRDefault="00747A7F" w:rsidP="00C312FE">
      <w:pPr>
        <w:ind w:leftChars="0" w:left="720" w:firstLineChars="0" w:hanging="720"/>
      </w:pPr>
      <w:r w:rsidRPr="00A24255">
        <w:t xml:space="preserve">Oliveira, R. S., Primeira, M. R., Santos, W. M., Paula, C. C., &amp; </w:t>
      </w:r>
      <w:proofErr w:type="spellStart"/>
      <w:r w:rsidRPr="00A24255">
        <w:t>Padoin</w:t>
      </w:r>
      <w:proofErr w:type="spellEnd"/>
      <w:r w:rsidRPr="00A24255">
        <w:t xml:space="preserve">, S. M. M. (2020). Associação entre suporte social com adesão ao tratamento antirretroviral em pessoas vivendo com o HIV. </w:t>
      </w:r>
      <w:r w:rsidRPr="00A24255">
        <w:rPr>
          <w:i/>
        </w:rPr>
        <w:t>Revista Gaúcha de Enfermagem</w:t>
      </w:r>
      <w:r w:rsidRPr="00A24255">
        <w:t xml:space="preserve">, </w:t>
      </w:r>
      <w:r w:rsidRPr="00A24255">
        <w:rPr>
          <w:i/>
        </w:rPr>
        <w:t>41</w:t>
      </w:r>
      <w:r w:rsidRPr="00A24255">
        <w:t xml:space="preserve">, </w:t>
      </w:r>
      <w:r w:rsidR="00D27761" w:rsidRPr="00A24255">
        <w:t xml:space="preserve">Artigo </w:t>
      </w:r>
      <w:r w:rsidRPr="00A24255">
        <w:t xml:space="preserve">e20190290. </w:t>
      </w:r>
      <w:hyperlink r:id="rId24">
        <w:r w:rsidRPr="00A24255">
          <w:rPr>
            <w:u w:val="single"/>
          </w:rPr>
          <w:t>https://dx.doi.org/10.1590/1983-1447.2020.20190290</w:t>
        </w:r>
      </w:hyperlink>
      <w:r w:rsidRPr="00A24255">
        <w:t xml:space="preserve"> </w:t>
      </w:r>
    </w:p>
    <w:p w14:paraId="55C864D5" w14:textId="09242538" w:rsidR="00CE4EC9" w:rsidRPr="00A24255" w:rsidRDefault="00CE4EC9" w:rsidP="00C312FE">
      <w:pPr>
        <w:ind w:leftChars="0" w:left="720" w:firstLineChars="0" w:hanging="720"/>
      </w:pPr>
      <w:r w:rsidRPr="00A24255">
        <w:t xml:space="preserve">Primeira, M. R., Santos, É. E. P., </w:t>
      </w:r>
      <w:proofErr w:type="spellStart"/>
      <w:r w:rsidRPr="00A24255">
        <w:t>Züge</w:t>
      </w:r>
      <w:proofErr w:type="spellEnd"/>
      <w:r w:rsidRPr="00A24255">
        <w:t xml:space="preserve">, S. S., </w:t>
      </w:r>
      <w:proofErr w:type="spellStart"/>
      <w:r w:rsidRPr="00A24255">
        <w:t>Magnago</w:t>
      </w:r>
      <w:proofErr w:type="spellEnd"/>
      <w:r w:rsidRPr="00A24255">
        <w:t>, T. S. B.</w:t>
      </w:r>
      <w:r w:rsidR="00EB0D84" w:rsidRPr="00A24255">
        <w:t xml:space="preserve"> S.</w:t>
      </w:r>
      <w:r w:rsidRPr="00A24255">
        <w:t xml:space="preserve">, Paula, C. C., &amp; </w:t>
      </w:r>
      <w:proofErr w:type="spellStart"/>
      <w:r w:rsidRPr="00A24255">
        <w:t>Padoin</w:t>
      </w:r>
      <w:proofErr w:type="spellEnd"/>
      <w:r w:rsidRPr="00A24255">
        <w:t xml:space="preserve">, S. M. </w:t>
      </w:r>
      <w:r w:rsidR="00EB0D84" w:rsidRPr="00A24255">
        <w:t xml:space="preserve">M. </w:t>
      </w:r>
      <w:r w:rsidRPr="00A24255">
        <w:t xml:space="preserve">(2018). Avaliação da adesão ao tratamento antirretroviral de pessoas vivendo com HIV. </w:t>
      </w:r>
      <w:r w:rsidRPr="00A24255">
        <w:rPr>
          <w:i/>
        </w:rPr>
        <w:t>Saúde e Pesquisa, 11</w:t>
      </w:r>
      <w:r w:rsidR="00E523D4">
        <w:t>(2), 307</w:t>
      </w:r>
      <w:r w:rsidR="00E523D4" w:rsidRPr="00A24255">
        <w:t>–</w:t>
      </w:r>
      <w:r w:rsidRPr="00A24255">
        <w:t xml:space="preserve">314. </w:t>
      </w:r>
      <w:hyperlink r:id="rId25" w:history="1">
        <w:r w:rsidRPr="00A24255">
          <w:rPr>
            <w:rStyle w:val="Hyperlink"/>
            <w:color w:val="auto"/>
          </w:rPr>
          <w:t>https://doi.org/10.17765/1983-1870.2018v11n2p307-314</w:t>
        </w:r>
      </w:hyperlink>
      <w:r w:rsidRPr="00A24255">
        <w:t xml:space="preserve"> </w:t>
      </w:r>
    </w:p>
    <w:p w14:paraId="0D6778DA" w14:textId="1F7139F0" w:rsidR="008B4224" w:rsidRPr="00A24255" w:rsidRDefault="00747A7F" w:rsidP="00C312FE">
      <w:pPr>
        <w:ind w:leftChars="0" w:left="720" w:firstLineChars="0" w:hanging="720"/>
        <w:rPr>
          <w:lang w:val="es-ES"/>
        </w:rPr>
      </w:pPr>
      <w:r w:rsidRPr="00A24255">
        <w:t xml:space="preserve">Rachid, M., &amp; </w:t>
      </w:r>
      <w:proofErr w:type="spellStart"/>
      <w:r w:rsidRPr="00A24255">
        <w:t>Schechter</w:t>
      </w:r>
      <w:proofErr w:type="spellEnd"/>
      <w:r w:rsidRPr="00A24255">
        <w:t>, M. (</w:t>
      </w:r>
      <w:proofErr w:type="spellStart"/>
      <w:r w:rsidRPr="00A24255">
        <w:t>Orgs</w:t>
      </w:r>
      <w:proofErr w:type="spellEnd"/>
      <w:r w:rsidRPr="00A24255">
        <w:t xml:space="preserve">.). </w:t>
      </w:r>
      <w:r w:rsidRPr="00A24255">
        <w:rPr>
          <w:lang w:val="es-ES"/>
        </w:rPr>
        <w:t xml:space="preserve">(2017). </w:t>
      </w:r>
      <w:r w:rsidRPr="00A24255">
        <w:rPr>
          <w:i/>
          <w:lang w:val="es-ES"/>
        </w:rPr>
        <w:t>Manual de HIV/</w:t>
      </w:r>
      <w:proofErr w:type="spellStart"/>
      <w:r w:rsidRPr="00A24255">
        <w:rPr>
          <w:i/>
          <w:lang w:val="es-ES"/>
        </w:rPr>
        <w:t>aids</w:t>
      </w:r>
      <w:proofErr w:type="spellEnd"/>
      <w:r w:rsidRPr="00A24255">
        <w:rPr>
          <w:lang w:val="es-ES"/>
        </w:rPr>
        <w:t xml:space="preserve"> (10</w:t>
      </w:r>
      <w:r w:rsidR="00DC2FB6" w:rsidRPr="00A24255">
        <w:rPr>
          <w:lang w:val="es-ES"/>
        </w:rPr>
        <w:t>ª</w:t>
      </w:r>
      <w:r w:rsidRPr="00A24255">
        <w:rPr>
          <w:lang w:val="es-ES"/>
        </w:rPr>
        <w:t xml:space="preserve"> ed.). </w:t>
      </w:r>
      <w:proofErr w:type="spellStart"/>
      <w:r w:rsidRPr="00A24255">
        <w:rPr>
          <w:lang w:val="es-ES"/>
        </w:rPr>
        <w:t>Thieme</w:t>
      </w:r>
      <w:proofErr w:type="spellEnd"/>
      <w:r w:rsidRPr="00A24255">
        <w:rPr>
          <w:lang w:val="es-ES"/>
        </w:rPr>
        <w:t xml:space="preserve"> </w:t>
      </w:r>
      <w:proofErr w:type="spellStart"/>
      <w:r w:rsidRPr="00A24255">
        <w:rPr>
          <w:lang w:val="es-ES"/>
        </w:rPr>
        <w:t>Revinter</w:t>
      </w:r>
      <w:proofErr w:type="spellEnd"/>
      <w:r w:rsidR="00B44438" w:rsidRPr="00A24255">
        <w:rPr>
          <w:lang w:val="es-ES"/>
        </w:rPr>
        <w:t>.</w:t>
      </w:r>
    </w:p>
    <w:p w14:paraId="5593E9C8" w14:textId="77777777" w:rsidR="008B4224" w:rsidRPr="00A24255" w:rsidRDefault="00747A7F" w:rsidP="00C312FE">
      <w:pPr>
        <w:ind w:leftChars="0" w:left="720" w:firstLineChars="0" w:hanging="720"/>
      </w:pPr>
      <w:r w:rsidRPr="00A24255">
        <w:rPr>
          <w:lang w:val="es-ES_tradnl"/>
        </w:rPr>
        <w:lastRenderedPageBreak/>
        <w:t xml:space="preserve">Remor, E., Milner-Moskovics, J., &amp; Preussler, G. (2007). </w:t>
      </w:r>
      <w:proofErr w:type="spellStart"/>
      <w:r w:rsidRPr="00A24255">
        <w:rPr>
          <w:lang w:val="es-ES_tradnl"/>
        </w:rPr>
        <w:t>Adaptação</w:t>
      </w:r>
      <w:proofErr w:type="spellEnd"/>
      <w:r w:rsidRPr="00A24255">
        <w:rPr>
          <w:lang w:val="es-ES_tradnl"/>
        </w:rPr>
        <w:t xml:space="preserve"> brasileira do "Cuestionario para la Evaluación de la Adhesión al Tratamiento </w:t>
      </w:r>
      <w:proofErr w:type="spellStart"/>
      <w:r w:rsidRPr="00A24255">
        <w:rPr>
          <w:lang w:val="es-ES_tradnl"/>
        </w:rPr>
        <w:t>Antiretroviral</w:t>
      </w:r>
      <w:proofErr w:type="spellEnd"/>
      <w:r w:rsidRPr="00A24255">
        <w:rPr>
          <w:lang w:val="es-ES_tradnl"/>
        </w:rPr>
        <w:t xml:space="preserve">". </w:t>
      </w:r>
      <w:r w:rsidRPr="00A24255">
        <w:rPr>
          <w:i/>
        </w:rPr>
        <w:t>Revista de Saúde Pública, 41</w:t>
      </w:r>
      <w:r w:rsidRPr="00A24255">
        <w:t xml:space="preserve">(5), 685–694. </w:t>
      </w:r>
      <w:hyperlink r:id="rId26">
        <w:r w:rsidRPr="00A24255">
          <w:rPr>
            <w:u w:val="single"/>
          </w:rPr>
          <w:t>https://doi.org/10.1590/S0034-89102006005000043</w:t>
        </w:r>
      </w:hyperlink>
      <w:r w:rsidRPr="00A24255">
        <w:t xml:space="preserve"> </w:t>
      </w:r>
    </w:p>
    <w:p w14:paraId="267C8C67" w14:textId="77777777" w:rsidR="008B4224" w:rsidRPr="00A24255" w:rsidRDefault="00747A7F" w:rsidP="00C312FE">
      <w:pPr>
        <w:ind w:leftChars="0" w:left="720" w:firstLineChars="0" w:hanging="720"/>
        <w:rPr>
          <w:lang w:val="en-US"/>
        </w:rPr>
      </w:pPr>
      <w:r w:rsidRPr="00A24255">
        <w:t xml:space="preserve">Remor, E. (2013a). </w:t>
      </w:r>
      <w:r w:rsidRPr="00A24255">
        <w:rPr>
          <w:lang w:val="en-US"/>
        </w:rPr>
        <w:t xml:space="preserve">Systematic review of the psychometric properties of the questionnaire to evaluate the adherence to HIV therapy (CEAT-VIH). </w:t>
      </w:r>
      <w:r w:rsidRPr="00A24255">
        <w:rPr>
          <w:i/>
          <w:lang w:val="en-US"/>
        </w:rPr>
        <w:t>The Patient</w:t>
      </w:r>
      <w:r w:rsidRPr="00A24255">
        <w:rPr>
          <w:lang w:val="en-US"/>
        </w:rPr>
        <w:t xml:space="preserve">, </w:t>
      </w:r>
      <w:r w:rsidRPr="00A24255">
        <w:rPr>
          <w:i/>
          <w:lang w:val="en-US"/>
        </w:rPr>
        <w:t>6</w:t>
      </w:r>
      <w:r w:rsidRPr="00A24255">
        <w:rPr>
          <w:lang w:val="en-US"/>
        </w:rPr>
        <w:t xml:space="preserve">(2), 61–73. </w:t>
      </w:r>
      <w:hyperlink r:id="rId27">
        <w:r w:rsidRPr="00A24255">
          <w:rPr>
            <w:u w:val="single"/>
            <w:lang w:val="en-US"/>
          </w:rPr>
          <w:t>https://doi.org/10.1007/s40271-013-0009-0</w:t>
        </w:r>
      </w:hyperlink>
      <w:r w:rsidRPr="00A24255">
        <w:rPr>
          <w:lang w:val="en-US"/>
        </w:rPr>
        <w:t xml:space="preserve"> </w:t>
      </w:r>
    </w:p>
    <w:p w14:paraId="132310BB" w14:textId="77777777" w:rsidR="008B4224" w:rsidRPr="00A24255" w:rsidRDefault="00747A7F" w:rsidP="00C312FE">
      <w:pPr>
        <w:ind w:leftChars="0" w:left="720" w:firstLineChars="0" w:hanging="720"/>
      </w:pPr>
      <w:r w:rsidRPr="00A24255">
        <w:rPr>
          <w:lang w:val="en-US"/>
        </w:rPr>
        <w:t xml:space="preserve">Remor, E. (2013b). Release of an online self-reporting tool for assessing adherence to antiretroviral therapy (CEAT-VIH). </w:t>
      </w:r>
      <w:proofErr w:type="spellStart"/>
      <w:r w:rsidRPr="00A24255">
        <w:rPr>
          <w:i/>
        </w:rPr>
        <w:t>Journal</w:t>
      </w:r>
      <w:proofErr w:type="spellEnd"/>
      <w:r w:rsidRPr="00A24255">
        <w:rPr>
          <w:i/>
        </w:rPr>
        <w:t xml:space="preserve"> </w:t>
      </w:r>
      <w:proofErr w:type="spellStart"/>
      <w:r w:rsidRPr="00A24255">
        <w:rPr>
          <w:i/>
        </w:rPr>
        <w:t>of</w:t>
      </w:r>
      <w:proofErr w:type="spellEnd"/>
      <w:r w:rsidRPr="00A24255">
        <w:rPr>
          <w:i/>
        </w:rPr>
        <w:t xml:space="preserve"> Antiviral &amp; </w:t>
      </w:r>
      <w:proofErr w:type="spellStart"/>
      <w:r w:rsidRPr="00A24255">
        <w:rPr>
          <w:i/>
        </w:rPr>
        <w:t>Antiretrovirals</w:t>
      </w:r>
      <w:proofErr w:type="spellEnd"/>
      <w:r w:rsidRPr="00A24255">
        <w:t xml:space="preserve">, </w:t>
      </w:r>
      <w:r w:rsidRPr="00A24255">
        <w:rPr>
          <w:i/>
        </w:rPr>
        <w:t>5</w:t>
      </w:r>
      <w:r w:rsidRPr="00A24255">
        <w:t xml:space="preserve">, 178–179. </w:t>
      </w:r>
      <w:hyperlink r:id="rId28">
        <w:r w:rsidRPr="00A24255">
          <w:rPr>
            <w:u w:val="single"/>
          </w:rPr>
          <w:t>https://doi.org/10.4172/jaa.1000085</w:t>
        </w:r>
      </w:hyperlink>
    </w:p>
    <w:p w14:paraId="43458A15" w14:textId="40B570B2" w:rsidR="008B4224" w:rsidRPr="00A24255" w:rsidRDefault="00747A7F" w:rsidP="00C312FE">
      <w:pPr>
        <w:ind w:leftChars="0" w:left="720" w:firstLineChars="0" w:hanging="720"/>
      </w:pPr>
      <w:r w:rsidRPr="00A24255">
        <w:t xml:space="preserve">Rodovalho, A. G., </w:t>
      </w:r>
      <w:proofErr w:type="spellStart"/>
      <w:r w:rsidRPr="00A24255">
        <w:t>Lucchese</w:t>
      </w:r>
      <w:proofErr w:type="spellEnd"/>
      <w:r w:rsidRPr="00A24255">
        <w:t xml:space="preserve">, R., Lemos, M. F., Diniz-Pinto, H. S., Araujo, L. B., &amp; Barros, P. M.(2018). Alterações de saúde mental em pessoas que vivem com HIV/aids. </w:t>
      </w:r>
      <w:r w:rsidRPr="00A24255">
        <w:rPr>
          <w:i/>
        </w:rPr>
        <w:t>Perspectivas em Psicologia</w:t>
      </w:r>
      <w:r w:rsidRPr="00A24255">
        <w:t xml:space="preserve">, </w:t>
      </w:r>
      <w:r w:rsidRPr="00A24255">
        <w:rPr>
          <w:i/>
        </w:rPr>
        <w:t>22</w:t>
      </w:r>
      <w:r w:rsidRPr="00A24255">
        <w:t xml:space="preserve">(2), 26–42. </w:t>
      </w:r>
      <w:hyperlink r:id="rId29">
        <w:r w:rsidRPr="00A24255">
          <w:rPr>
            <w:u w:val="single"/>
          </w:rPr>
          <w:t>http://www.seer.ufu.br/index.php/perspectivasempsicologia/article/view/46557</w:t>
        </w:r>
      </w:hyperlink>
    </w:p>
    <w:p w14:paraId="5DCF31A7" w14:textId="0BB1299E" w:rsidR="008B4224" w:rsidRPr="00A24255" w:rsidRDefault="00747A7F" w:rsidP="00C312FE">
      <w:pPr>
        <w:ind w:leftChars="0" w:left="720" w:firstLineChars="0" w:hanging="720"/>
      </w:pPr>
      <w:r w:rsidRPr="00A24255">
        <w:t xml:space="preserve">Seidl, E. M. F., Melchíades, A., Farias, V., &amp; Brito, A. (2007). Pessoas vivendo com HIV/AIDS: </w:t>
      </w:r>
      <w:r w:rsidR="00A26804" w:rsidRPr="00A24255">
        <w:t>V</w:t>
      </w:r>
      <w:r w:rsidRPr="00A24255">
        <w:t xml:space="preserve">ariáveis associadas à adesão ao tratamento antirretroviral. </w:t>
      </w:r>
      <w:r w:rsidRPr="00A24255">
        <w:rPr>
          <w:i/>
        </w:rPr>
        <w:t>Cadernos de Saúde Pública</w:t>
      </w:r>
      <w:r w:rsidRPr="00A24255">
        <w:t xml:space="preserve">, </w:t>
      </w:r>
      <w:r w:rsidRPr="00A24255">
        <w:rPr>
          <w:i/>
        </w:rPr>
        <w:t>23</w:t>
      </w:r>
      <w:r w:rsidRPr="00A24255">
        <w:t xml:space="preserve">(10), 2305–2316. </w:t>
      </w:r>
      <w:hyperlink r:id="rId30">
        <w:r w:rsidRPr="00A24255">
          <w:rPr>
            <w:u w:val="single"/>
          </w:rPr>
          <w:t>https://doi.org/10.1590/S0102-311X2007001000006</w:t>
        </w:r>
      </w:hyperlink>
      <w:r w:rsidRPr="00A24255">
        <w:t xml:space="preserve"> </w:t>
      </w:r>
    </w:p>
    <w:p w14:paraId="70B0AE54" w14:textId="785A6836" w:rsidR="008B4224" w:rsidRPr="00C312FE" w:rsidRDefault="00747A7F" w:rsidP="00C312FE">
      <w:pPr>
        <w:ind w:leftChars="0" w:left="720" w:firstLineChars="0" w:hanging="720"/>
      </w:pPr>
      <w:r w:rsidRPr="00A24255">
        <w:t xml:space="preserve">Seidl, E. M. F., &amp; Remor, E. (2020). Adesão ao tratamento, resiliência e percepção de doença em pessoas com HIV. </w:t>
      </w:r>
      <w:r w:rsidRPr="00A24255">
        <w:rPr>
          <w:i/>
        </w:rPr>
        <w:t>Psicologia</w:t>
      </w:r>
      <w:r w:rsidRPr="00C312FE">
        <w:rPr>
          <w:i/>
        </w:rPr>
        <w:t>: Teoria e Pesquisa</w:t>
      </w:r>
      <w:r w:rsidRPr="00C312FE">
        <w:t>, 36,</w:t>
      </w:r>
      <w:r w:rsidR="00824FCD" w:rsidRPr="00C312FE">
        <w:t xml:space="preserve"> Artigo</w:t>
      </w:r>
      <w:r w:rsidRPr="00C312FE">
        <w:t xml:space="preserve"> e36nspe6. </w:t>
      </w:r>
      <w:hyperlink r:id="rId31">
        <w:r w:rsidRPr="00C312FE">
          <w:rPr>
            <w:u w:val="single"/>
          </w:rPr>
          <w:t>https://doi.org/10.1590/0102.3772e36nspe6</w:t>
        </w:r>
      </w:hyperlink>
      <w:r w:rsidRPr="00C312FE">
        <w:t xml:space="preserve"> </w:t>
      </w:r>
    </w:p>
    <w:p w14:paraId="451CC47A" w14:textId="7C6B3285" w:rsidR="008B4224" w:rsidRPr="00C312FE" w:rsidRDefault="00747A7F" w:rsidP="00C312FE">
      <w:pPr>
        <w:ind w:leftChars="0" w:left="720" w:firstLineChars="0" w:hanging="720"/>
        <w:rPr>
          <w:lang w:val="en-US"/>
        </w:rPr>
      </w:pPr>
      <w:r w:rsidRPr="00C312FE">
        <w:t xml:space="preserve">Silva, B. B., Brito, A., Monteiro, E. P., </w:t>
      </w:r>
      <w:proofErr w:type="spellStart"/>
      <w:r w:rsidRPr="00C312FE">
        <w:t>Mondelo</w:t>
      </w:r>
      <w:proofErr w:type="spellEnd"/>
      <w:r w:rsidRPr="00C312FE">
        <w:t xml:space="preserve">, G. P., &amp; Remor, E. (2019). </w:t>
      </w:r>
      <w:r w:rsidRPr="00C312FE">
        <w:rPr>
          <w:lang w:val="en-US"/>
        </w:rPr>
        <w:t xml:space="preserve">Evidence of validity for the online version of the </w:t>
      </w:r>
      <w:r w:rsidR="004A786A" w:rsidRPr="00C312FE">
        <w:rPr>
          <w:lang w:val="en-US"/>
        </w:rPr>
        <w:t>A</w:t>
      </w:r>
      <w:r w:rsidRPr="00C312FE">
        <w:rPr>
          <w:lang w:val="en-US"/>
        </w:rPr>
        <w:t xml:space="preserve">ssessment of </w:t>
      </w:r>
      <w:r w:rsidR="004A786A" w:rsidRPr="00C312FE">
        <w:rPr>
          <w:lang w:val="en-US"/>
        </w:rPr>
        <w:t>A</w:t>
      </w:r>
      <w:r w:rsidRPr="00C312FE">
        <w:rPr>
          <w:lang w:val="en-US"/>
        </w:rPr>
        <w:t xml:space="preserve">dherence to </w:t>
      </w:r>
      <w:r w:rsidR="004A786A" w:rsidRPr="00C312FE">
        <w:rPr>
          <w:lang w:val="en-US"/>
        </w:rPr>
        <w:t>A</w:t>
      </w:r>
      <w:r w:rsidRPr="00C312FE">
        <w:rPr>
          <w:lang w:val="en-US"/>
        </w:rPr>
        <w:t xml:space="preserve">ntiretroviral </w:t>
      </w:r>
      <w:r w:rsidR="004A786A" w:rsidRPr="00C312FE">
        <w:rPr>
          <w:lang w:val="en-US"/>
        </w:rPr>
        <w:lastRenderedPageBreak/>
        <w:t>T</w:t>
      </w:r>
      <w:r w:rsidRPr="00C312FE">
        <w:rPr>
          <w:lang w:val="en-US"/>
        </w:rPr>
        <w:t xml:space="preserve">herapy </w:t>
      </w:r>
      <w:r w:rsidR="004A786A" w:rsidRPr="00C312FE">
        <w:rPr>
          <w:lang w:val="en-US"/>
        </w:rPr>
        <w:t>Q</w:t>
      </w:r>
      <w:r w:rsidRPr="00C312FE">
        <w:rPr>
          <w:lang w:val="en-US"/>
        </w:rPr>
        <w:t xml:space="preserve">uestionnaire. </w:t>
      </w:r>
      <w:r w:rsidRPr="00C312FE">
        <w:rPr>
          <w:i/>
          <w:lang w:val="en-US"/>
        </w:rPr>
        <w:t>SAGE Journals</w:t>
      </w:r>
      <w:r w:rsidRPr="00C312FE">
        <w:rPr>
          <w:lang w:val="en-US"/>
        </w:rPr>
        <w:t xml:space="preserve">, </w:t>
      </w:r>
      <w:r w:rsidRPr="00C312FE">
        <w:rPr>
          <w:i/>
          <w:lang w:val="en-US"/>
        </w:rPr>
        <w:t>9</w:t>
      </w:r>
      <w:r w:rsidRPr="00C312FE">
        <w:rPr>
          <w:lang w:val="en-US"/>
        </w:rPr>
        <w:t>(3), 1–12.</w:t>
      </w:r>
      <w:r w:rsidRPr="00C312FE">
        <w:rPr>
          <w:rFonts w:eastAsia="Calibri"/>
          <w:sz w:val="22"/>
          <w:szCs w:val="22"/>
          <w:lang w:val="en-US"/>
        </w:rPr>
        <w:t xml:space="preserve"> </w:t>
      </w:r>
      <w:hyperlink r:id="rId32">
        <w:r w:rsidRPr="00C312FE">
          <w:rPr>
            <w:u w:val="single"/>
            <w:lang w:val="en-US"/>
          </w:rPr>
          <w:t>https://doi.org/10.1177/2158244019877201</w:t>
        </w:r>
      </w:hyperlink>
    </w:p>
    <w:p w14:paraId="7D1E34DD" w14:textId="0FE7BD8A" w:rsidR="00225433" w:rsidRPr="00C312FE" w:rsidRDefault="00225433" w:rsidP="00C312FE">
      <w:pPr>
        <w:ind w:leftChars="0" w:left="720" w:firstLineChars="0" w:hanging="720"/>
        <w:rPr>
          <w:lang w:val="en-US"/>
        </w:rPr>
      </w:pPr>
      <w:r w:rsidRPr="00C312FE">
        <w:rPr>
          <w:lang w:val="en-US"/>
        </w:rPr>
        <w:t xml:space="preserve">Silva, M., Dias, F. A., </w:t>
      </w:r>
      <w:proofErr w:type="spellStart"/>
      <w:r w:rsidRPr="00C312FE">
        <w:rPr>
          <w:lang w:val="en-US"/>
        </w:rPr>
        <w:t>Testoni</w:t>
      </w:r>
      <w:proofErr w:type="spellEnd"/>
      <w:r w:rsidRPr="00C312FE">
        <w:rPr>
          <w:lang w:val="en-US"/>
        </w:rPr>
        <w:t xml:space="preserve">, C. F., Höfelmann, D. A., &amp; </w:t>
      </w:r>
      <w:proofErr w:type="spellStart"/>
      <w:r w:rsidRPr="00C312FE">
        <w:rPr>
          <w:lang w:val="en-US"/>
        </w:rPr>
        <w:t>Rattmann</w:t>
      </w:r>
      <w:proofErr w:type="spellEnd"/>
      <w:r w:rsidRPr="00C312FE">
        <w:rPr>
          <w:lang w:val="en-US"/>
        </w:rPr>
        <w:t xml:space="preserve">, Y. D. (2022). </w:t>
      </w:r>
      <w:proofErr w:type="spellStart"/>
      <w:r w:rsidRPr="00C312FE">
        <w:rPr>
          <w:lang w:val="en-US"/>
        </w:rPr>
        <w:t>Sociodemographic</w:t>
      </w:r>
      <w:proofErr w:type="spellEnd"/>
      <w:r w:rsidRPr="00C312FE">
        <w:rPr>
          <w:lang w:val="en-US"/>
        </w:rPr>
        <w:t xml:space="preserve"> and </w:t>
      </w:r>
      <w:proofErr w:type="spellStart"/>
      <w:r w:rsidRPr="00C312FE">
        <w:rPr>
          <w:lang w:val="en-US"/>
        </w:rPr>
        <w:t>pharmacoepidemiological</w:t>
      </w:r>
      <w:proofErr w:type="spellEnd"/>
      <w:r w:rsidRPr="00C312FE">
        <w:rPr>
          <w:lang w:val="en-US"/>
        </w:rPr>
        <w:t xml:space="preserve"> profile of people on antiretroviral therapy in the coast of the state of Paraná. </w:t>
      </w:r>
      <w:proofErr w:type="spellStart"/>
      <w:r w:rsidRPr="00C312FE">
        <w:rPr>
          <w:i/>
          <w:lang w:val="en-US"/>
        </w:rPr>
        <w:t>Acta</w:t>
      </w:r>
      <w:proofErr w:type="spellEnd"/>
      <w:r w:rsidRPr="00C312FE">
        <w:rPr>
          <w:i/>
          <w:lang w:val="en-US"/>
        </w:rPr>
        <w:t xml:space="preserve"> </w:t>
      </w:r>
      <w:proofErr w:type="spellStart"/>
      <w:r w:rsidRPr="00C312FE">
        <w:rPr>
          <w:i/>
          <w:lang w:val="en-US"/>
        </w:rPr>
        <w:t>Scientiarum</w:t>
      </w:r>
      <w:proofErr w:type="spellEnd"/>
      <w:r w:rsidRPr="00C312FE">
        <w:rPr>
          <w:i/>
          <w:lang w:val="en-US"/>
        </w:rPr>
        <w:t>. Health Sciences, 44</w:t>
      </w:r>
      <w:r w:rsidRPr="00C312FE">
        <w:rPr>
          <w:lang w:val="en-US"/>
        </w:rPr>
        <w:t xml:space="preserve">(1), e56764. </w:t>
      </w:r>
      <w:hyperlink r:id="rId33" w:history="1">
        <w:r w:rsidRPr="00C312FE">
          <w:rPr>
            <w:rStyle w:val="Hyperlink"/>
            <w:color w:val="auto"/>
            <w:lang w:val="en-US"/>
          </w:rPr>
          <w:t>https://doi.org/10.4025/actascihealthsci.v44i1.56764</w:t>
        </w:r>
      </w:hyperlink>
    </w:p>
    <w:p w14:paraId="7BAA4ED0" w14:textId="6649F0D3" w:rsidR="008B4224" w:rsidRPr="001F68F3" w:rsidRDefault="00747A7F" w:rsidP="00C312FE">
      <w:pPr>
        <w:ind w:leftChars="0" w:left="720" w:firstLineChars="0" w:hanging="720"/>
      </w:pPr>
      <w:r w:rsidRPr="00C312FE">
        <w:rPr>
          <w:lang w:val="en-US"/>
        </w:rPr>
        <w:t xml:space="preserve">Singh, B. G., Dubey, P., &amp; Pandey, D. (2021). Role of </w:t>
      </w:r>
      <w:proofErr w:type="gramStart"/>
      <w:r w:rsidRPr="00C312FE">
        <w:rPr>
          <w:lang w:val="en-US"/>
        </w:rPr>
        <w:t>psycho-social</w:t>
      </w:r>
      <w:proofErr w:type="gramEnd"/>
      <w:r w:rsidRPr="00C312FE">
        <w:rPr>
          <w:lang w:val="en-US"/>
        </w:rPr>
        <w:t xml:space="preserve"> intervention: A literature based study.</w:t>
      </w:r>
      <w:r w:rsidRPr="00C312FE">
        <w:rPr>
          <w:rFonts w:eastAsia="Calibri"/>
          <w:sz w:val="22"/>
          <w:szCs w:val="22"/>
          <w:lang w:val="en-US"/>
        </w:rPr>
        <w:t xml:space="preserve"> </w:t>
      </w:r>
      <w:r w:rsidRPr="00C312FE">
        <w:rPr>
          <w:i/>
          <w:lang w:val="en-US"/>
        </w:rPr>
        <w:t>The International Journal of Indian Psychology</w:t>
      </w:r>
      <w:r w:rsidRPr="00C312FE">
        <w:rPr>
          <w:lang w:val="en-US"/>
        </w:rPr>
        <w:t xml:space="preserve">, </w:t>
      </w:r>
      <w:r w:rsidRPr="00C312FE">
        <w:rPr>
          <w:i/>
          <w:lang w:val="en-US"/>
        </w:rPr>
        <w:t>9</w:t>
      </w:r>
      <w:r w:rsidRPr="00C312FE">
        <w:rPr>
          <w:lang w:val="en-US"/>
        </w:rPr>
        <w:t xml:space="preserve">(4), 2245–2248. </w:t>
      </w:r>
      <w:hyperlink r:id="rId34">
        <w:r w:rsidRPr="001F68F3">
          <w:rPr>
            <w:u w:val="single"/>
          </w:rPr>
          <w:t>http://dx.doi.org/10.25215/0904.210</w:t>
        </w:r>
      </w:hyperlink>
      <w:r w:rsidR="001F68F3" w:rsidRPr="001F68F3">
        <w:t xml:space="preserve"> </w:t>
      </w:r>
    </w:p>
    <w:p w14:paraId="4F9E813D" w14:textId="0C295D5F" w:rsidR="008B4224" w:rsidRPr="00C312FE" w:rsidRDefault="00747A7F" w:rsidP="00C312FE">
      <w:pPr>
        <w:ind w:leftChars="0" w:left="720" w:firstLineChars="0" w:hanging="720"/>
      </w:pPr>
      <w:r w:rsidRPr="00C312FE">
        <w:t>Souza, J. R., Seidl, E. M. F., &amp; Barbosa, D.</w:t>
      </w:r>
      <w:r w:rsidR="001F68F3">
        <w:t xml:space="preserve"> </w:t>
      </w:r>
      <w:r w:rsidRPr="001F68F3">
        <w:t xml:space="preserve">(2023). </w:t>
      </w:r>
      <w:r w:rsidRPr="00C312FE">
        <w:rPr>
          <w:lang w:val="en-US"/>
        </w:rPr>
        <w:t xml:space="preserve">Psychological </w:t>
      </w:r>
      <w:r w:rsidR="00E703FA" w:rsidRPr="00C312FE">
        <w:rPr>
          <w:lang w:val="en-US"/>
        </w:rPr>
        <w:t>R</w:t>
      </w:r>
      <w:r w:rsidRPr="00C312FE">
        <w:rPr>
          <w:lang w:val="en-US"/>
        </w:rPr>
        <w:t xml:space="preserve">isk </w:t>
      </w:r>
      <w:r w:rsidR="00E703FA" w:rsidRPr="00C312FE">
        <w:rPr>
          <w:lang w:val="en-US"/>
        </w:rPr>
        <w:t>I</w:t>
      </w:r>
      <w:r w:rsidRPr="00C312FE">
        <w:rPr>
          <w:lang w:val="en-US"/>
        </w:rPr>
        <w:t xml:space="preserve">ndicator in </w:t>
      </w:r>
      <w:r w:rsidR="00E703FA" w:rsidRPr="00C312FE">
        <w:rPr>
          <w:lang w:val="en-US"/>
        </w:rPr>
        <w:t>O</w:t>
      </w:r>
      <w:r w:rsidRPr="00C312FE">
        <w:rPr>
          <w:lang w:val="en-US"/>
        </w:rPr>
        <w:t xml:space="preserve">ncology: Development and evidence of validity. </w:t>
      </w:r>
      <w:r w:rsidRPr="00C312FE">
        <w:rPr>
          <w:i/>
        </w:rPr>
        <w:t>Revista Psicologia, Saúde &amp; Doenças, 24</w:t>
      </w:r>
      <w:r w:rsidRPr="00C312FE">
        <w:t>(2), 511</w:t>
      </w:r>
      <w:r w:rsidR="00E523D4" w:rsidRPr="00A24255">
        <w:t>–</w:t>
      </w:r>
      <w:r w:rsidRPr="00C312FE">
        <w:t xml:space="preserve">523. </w:t>
      </w:r>
      <w:hyperlink r:id="rId35" w:history="1">
        <w:r w:rsidR="008B4224" w:rsidRPr="00C312FE">
          <w:rPr>
            <w:rStyle w:val="Hyperlink"/>
            <w:color w:val="auto"/>
          </w:rPr>
          <w:t>https://doi.org/10.15309/23psd240208</w:t>
        </w:r>
      </w:hyperlink>
    </w:p>
    <w:p w14:paraId="0ED0EEC9" w14:textId="6EFDD925" w:rsidR="008B4224" w:rsidRPr="00C312FE" w:rsidRDefault="00747A7F" w:rsidP="00C312FE">
      <w:pPr>
        <w:ind w:leftChars="0" w:left="720" w:firstLineChars="0" w:hanging="720"/>
      </w:pPr>
      <w:proofErr w:type="spellStart"/>
      <w:r w:rsidRPr="00431A9B">
        <w:t>Tabachni</w:t>
      </w:r>
      <w:r w:rsidR="009D1AE0" w:rsidRPr="00431A9B">
        <w:t>c</w:t>
      </w:r>
      <w:r w:rsidRPr="00431A9B">
        <w:t>k</w:t>
      </w:r>
      <w:proofErr w:type="spellEnd"/>
      <w:r w:rsidRPr="00431A9B">
        <w:t xml:space="preserve">, B. G., &amp; </w:t>
      </w:r>
      <w:proofErr w:type="spellStart"/>
      <w:r w:rsidRPr="00431A9B">
        <w:t>Fidell</w:t>
      </w:r>
      <w:proofErr w:type="spellEnd"/>
      <w:r w:rsidRPr="00431A9B">
        <w:t xml:space="preserve">, L. S. (2018). </w:t>
      </w:r>
      <w:r w:rsidRPr="00C312FE">
        <w:rPr>
          <w:i/>
          <w:lang w:val="en-US"/>
        </w:rPr>
        <w:t>Using multivariate statistics</w:t>
      </w:r>
      <w:r w:rsidRPr="00C312FE">
        <w:rPr>
          <w:lang w:val="en-US"/>
        </w:rPr>
        <w:t xml:space="preserve"> (7</w:t>
      </w:r>
      <w:r w:rsidR="009D1AE0">
        <w:rPr>
          <w:vertAlign w:val="superscript"/>
          <w:lang w:val="en-US"/>
        </w:rPr>
        <w:t>ª</w:t>
      </w:r>
      <w:r w:rsidRPr="00C312FE">
        <w:rPr>
          <w:lang w:val="en-US"/>
        </w:rPr>
        <w:t xml:space="preserve"> ed.). </w:t>
      </w:r>
      <w:r w:rsidRPr="00C312FE">
        <w:t>Pearson.</w:t>
      </w:r>
    </w:p>
    <w:p w14:paraId="00653E89" w14:textId="681CB418" w:rsidR="006950CD" w:rsidRPr="00C312FE" w:rsidRDefault="00747A7F" w:rsidP="00C312FE">
      <w:pPr>
        <w:ind w:leftChars="0" w:left="720" w:firstLineChars="0" w:hanging="720"/>
        <w:rPr>
          <w:lang w:val="en-US"/>
        </w:rPr>
      </w:pPr>
      <w:r w:rsidRPr="00C312FE">
        <w:t xml:space="preserve">Tufano, C. S., Amaral, R. A., Cardoso, L. R. D., &amp; </w:t>
      </w:r>
      <w:proofErr w:type="spellStart"/>
      <w:r w:rsidRPr="00C312FE">
        <w:t>Malbergier</w:t>
      </w:r>
      <w:proofErr w:type="spellEnd"/>
      <w:r w:rsidRPr="00C312FE">
        <w:t xml:space="preserve">, A. (2015). </w:t>
      </w:r>
      <w:r w:rsidRPr="00C312FE">
        <w:rPr>
          <w:lang w:val="en-US"/>
        </w:rPr>
        <w:t>The influence of depressive symptoms and substance use on adherence to antiretroviral therapy</w:t>
      </w:r>
      <w:r w:rsidR="002F2265" w:rsidRPr="00C312FE">
        <w:rPr>
          <w:lang w:val="en-US"/>
        </w:rPr>
        <w:t>:</w:t>
      </w:r>
      <w:r w:rsidRPr="00C312FE">
        <w:rPr>
          <w:lang w:val="en-US"/>
        </w:rPr>
        <w:t xml:space="preserve"> A cross-sectional prevalence study. </w:t>
      </w:r>
      <w:r w:rsidRPr="00C312FE">
        <w:rPr>
          <w:i/>
          <w:lang w:val="en-US"/>
        </w:rPr>
        <w:t>Sao Paulo Medical Journal</w:t>
      </w:r>
      <w:r w:rsidRPr="00C312FE">
        <w:rPr>
          <w:lang w:val="en-US"/>
        </w:rPr>
        <w:t xml:space="preserve">, </w:t>
      </w:r>
      <w:r w:rsidRPr="00C312FE">
        <w:rPr>
          <w:i/>
          <w:lang w:val="en-US"/>
        </w:rPr>
        <w:t>133</w:t>
      </w:r>
      <w:r w:rsidRPr="00C312FE">
        <w:rPr>
          <w:lang w:val="en-US"/>
        </w:rPr>
        <w:t xml:space="preserve">(3), 179–186. </w:t>
      </w:r>
      <w:hyperlink r:id="rId36">
        <w:r w:rsidRPr="00C312FE">
          <w:rPr>
            <w:u w:val="single"/>
            <w:lang w:val="en-US"/>
          </w:rPr>
          <w:t>https://doi.org/10.1590/1516-3180.2013.7450010</w:t>
        </w:r>
      </w:hyperlink>
    </w:p>
    <w:sectPr w:rsidR="006950CD" w:rsidRPr="00C312FE" w:rsidSect="00075558">
      <w:headerReference w:type="even" r:id="rId37"/>
      <w:headerReference w:type="default" r:id="rId38"/>
      <w:footerReference w:type="even" r:id="rId39"/>
      <w:footerReference w:type="default" r:id="rId40"/>
      <w:headerReference w:type="first" r:id="rId41"/>
      <w:footerReference w:type="first" r:id="rId42"/>
      <w:pgSz w:w="11900" w:h="16837"/>
      <w:pgMar w:top="1440" w:right="1440" w:bottom="1440" w:left="1440" w:header="624"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E91AF" w14:textId="77777777" w:rsidR="00532A68" w:rsidRDefault="00532A68">
      <w:pPr>
        <w:spacing w:line="240" w:lineRule="auto"/>
        <w:ind w:left="0" w:hanging="2"/>
      </w:pPr>
      <w:r>
        <w:separator/>
      </w:r>
    </w:p>
  </w:endnote>
  <w:endnote w:type="continuationSeparator" w:id="0">
    <w:p w14:paraId="6BE4CE6A" w14:textId="77777777" w:rsidR="00532A68" w:rsidRDefault="00532A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swiss"/>
    <w:notTrueType/>
    <w:pitch w:val="variable"/>
    <w:sig w:usb0="E1000AEF" w:usb1="5000A1FF" w:usb2="00000000" w:usb3="00000000" w:csb0="000001BF" w:csb1="00000000"/>
  </w:font>
  <w:font w:name="Gungsuh_MSFontService">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39CED" w14:textId="77777777" w:rsidR="000E0201" w:rsidRDefault="000E0201">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193D" w14:textId="2B5377BE" w:rsidR="000E0201" w:rsidRDefault="009D1AE0">
    <w:pPr>
      <w:keepNext/>
      <w:pBdr>
        <w:top w:val="nil"/>
        <w:left w:val="nil"/>
        <w:bottom w:val="nil"/>
        <w:right w:val="nil"/>
        <w:between w:val="nil"/>
      </w:pBdr>
      <w:ind w:left="0" w:hanging="2"/>
      <w:rPr>
        <w:rFonts w:ascii="Calibri" w:eastAsia="Calibri" w:hAnsi="Calibri" w:cs="Calibri"/>
        <w:color w:val="000000"/>
      </w:rPr>
    </w:pPr>
    <w:r>
      <w:rPr>
        <w:i/>
        <w:color w:val="808080"/>
        <w:sz w:val="18"/>
        <w:szCs w:val="18"/>
      </w:rPr>
      <w:t>Costa, A. R., &amp; Seidl, E.</w:t>
    </w:r>
    <w:r w:rsidR="000067D7">
      <w:rPr>
        <w:i/>
        <w:color w:val="808080"/>
        <w:sz w:val="18"/>
        <w:szCs w:val="18"/>
      </w:rPr>
      <w:t xml:space="preserve"> </w:t>
    </w:r>
    <w:r>
      <w:rPr>
        <w:i/>
        <w:color w:val="808080"/>
        <w:sz w:val="18"/>
        <w:szCs w:val="18"/>
      </w:rPr>
      <w:t>M. F.</w:t>
    </w:r>
    <w:r w:rsidR="000E0201">
      <w:rPr>
        <w:i/>
        <w:color w:val="808080"/>
        <w:sz w:val="18"/>
        <w:szCs w:val="18"/>
      </w:rPr>
      <w:tab/>
    </w:r>
    <w:r w:rsidR="000E0201">
      <w:rPr>
        <w:i/>
        <w:color w:val="808080"/>
        <w:sz w:val="18"/>
        <w:szCs w:val="18"/>
      </w:rPr>
      <w:tab/>
    </w:r>
    <w:r>
      <w:rPr>
        <w:i/>
        <w:color w:val="808080"/>
        <w:sz w:val="18"/>
        <w:szCs w:val="18"/>
      </w:rPr>
      <w:tab/>
    </w:r>
    <w:r>
      <w:rPr>
        <w:i/>
        <w:color w:val="808080"/>
        <w:sz w:val="18"/>
        <w:szCs w:val="18"/>
      </w:rPr>
      <w:tab/>
    </w:r>
    <w:r>
      <w:rPr>
        <w:i/>
        <w:color w:val="808080"/>
        <w:sz w:val="18"/>
        <w:szCs w:val="18"/>
      </w:rPr>
      <w:tab/>
    </w:r>
    <w:r w:rsidR="000E0201">
      <w:rPr>
        <w:i/>
        <w:color w:val="808080"/>
        <w:sz w:val="18"/>
        <w:szCs w:val="18"/>
      </w:rPr>
      <w:tab/>
    </w:r>
    <w:r w:rsidR="000E0201">
      <w:rPr>
        <w:i/>
        <w:color w:val="808080"/>
        <w:sz w:val="18"/>
        <w:szCs w:val="18"/>
      </w:rPr>
      <w:tab/>
    </w:r>
    <w:r w:rsidR="000E0201">
      <w:rPr>
        <w:i/>
        <w:color w:val="808080"/>
        <w:sz w:val="18"/>
        <w:szCs w:val="18"/>
      </w:rPr>
      <w:tab/>
      <w:t xml:space="preserve">            </w:t>
    </w:r>
    <w:r w:rsidR="000067D7">
      <w:rPr>
        <w:i/>
        <w:color w:val="808080"/>
        <w:sz w:val="18"/>
        <w:szCs w:val="18"/>
      </w:rPr>
      <w:t xml:space="preserve">        </w:t>
    </w:r>
    <w:r w:rsidRPr="009D1AE0">
      <w:rPr>
        <w:i/>
        <w:color w:val="808080"/>
        <w:sz w:val="18"/>
        <w:szCs w:val="18"/>
      </w:rPr>
      <w:fldChar w:fldCharType="begin"/>
    </w:r>
    <w:r w:rsidRPr="009D1AE0">
      <w:rPr>
        <w:i/>
        <w:color w:val="808080"/>
        <w:sz w:val="18"/>
        <w:szCs w:val="18"/>
      </w:rPr>
      <w:instrText>PAGE   \* MERGEFORMAT</w:instrText>
    </w:r>
    <w:r w:rsidRPr="009D1AE0">
      <w:rPr>
        <w:i/>
        <w:color w:val="808080"/>
        <w:sz w:val="18"/>
        <w:szCs w:val="18"/>
      </w:rPr>
      <w:fldChar w:fldCharType="separate"/>
    </w:r>
    <w:r w:rsidR="001F68F3">
      <w:rPr>
        <w:i/>
        <w:noProof/>
        <w:color w:val="808080"/>
        <w:sz w:val="18"/>
        <w:szCs w:val="18"/>
      </w:rPr>
      <w:t>26</w:t>
    </w:r>
    <w:r w:rsidRPr="009D1AE0">
      <w:rPr>
        <w:i/>
        <w:color w:val="808080"/>
        <w:sz w:val="18"/>
        <w:szCs w:val="18"/>
      </w:rPr>
      <w:fldChar w:fldCharType="end"/>
    </w:r>
    <w:r>
      <w:rPr>
        <w:i/>
        <w:color w:val="808080"/>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AB5A4" w14:textId="11076278" w:rsidR="000E0201" w:rsidRPr="00AA029F" w:rsidRDefault="000E0201" w:rsidP="00AE0853">
    <w:pPr>
      <w:pBdr>
        <w:top w:val="nil"/>
        <w:left w:val="nil"/>
        <w:bottom w:val="nil"/>
        <w:right w:val="nil"/>
        <w:between w:val="nil"/>
      </w:pBdr>
      <w:tabs>
        <w:tab w:val="center" w:pos="4320"/>
        <w:tab w:val="right" w:pos="8640"/>
      </w:tabs>
      <w:ind w:leftChars="0" w:left="0" w:firstLineChars="0" w:firstLine="0"/>
      <w:rPr>
        <w:rFonts w:eastAsia="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E2561" w14:textId="77777777" w:rsidR="00532A68" w:rsidRDefault="00532A68">
      <w:pPr>
        <w:spacing w:line="240" w:lineRule="auto"/>
        <w:ind w:left="0" w:hanging="2"/>
      </w:pPr>
      <w:r>
        <w:separator/>
      </w:r>
    </w:p>
  </w:footnote>
  <w:footnote w:type="continuationSeparator" w:id="0">
    <w:p w14:paraId="15B51B4B" w14:textId="77777777" w:rsidR="00532A68" w:rsidRDefault="00532A68">
      <w:pPr>
        <w:spacing w:line="240" w:lineRule="auto"/>
        <w:ind w:left="0" w:hanging="2"/>
      </w:pPr>
      <w:r>
        <w:continuationSeparator/>
      </w:r>
    </w:p>
  </w:footnote>
  <w:footnote w:id="1">
    <w:p w14:paraId="41E3B4CF" w14:textId="323C2853" w:rsidR="000E0201" w:rsidRPr="009D1AE0" w:rsidRDefault="000E0201" w:rsidP="00F26222">
      <w:pPr>
        <w:pBdr>
          <w:top w:val="nil"/>
          <w:left w:val="nil"/>
          <w:bottom w:val="nil"/>
          <w:right w:val="nil"/>
          <w:between w:val="nil"/>
        </w:pBdr>
        <w:tabs>
          <w:tab w:val="center" w:pos="4320"/>
          <w:tab w:val="right" w:pos="8640"/>
        </w:tabs>
        <w:spacing w:line="240" w:lineRule="auto"/>
        <w:ind w:leftChars="0" w:left="0" w:firstLineChars="0" w:firstLine="0"/>
      </w:pPr>
      <w:r w:rsidRPr="009D1AE0">
        <w:rPr>
          <w:rStyle w:val="Refdenotaderodap"/>
          <w:sz w:val="20"/>
          <w:szCs w:val="20"/>
        </w:rPr>
        <w:footnoteRef/>
      </w:r>
      <w:r w:rsidRPr="009D1AE0">
        <w:rPr>
          <w:sz w:val="20"/>
          <w:szCs w:val="20"/>
        </w:rPr>
        <w:t xml:space="preserve"> </w:t>
      </w:r>
      <w:r w:rsidRPr="009D1AE0">
        <w:rPr>
          <w:rFonts w:eastAsia="Calibri"/>
          <w:sz w:val="20"/>
          <w:szCs w:val="20"/>
        </w:rPr>
        <w:t>Este trabalho é baseado na dissertação de mestrado da primeira autora, Aline Rosa da Costa, do Programa de Pós-Graduação em Psicologia Clínica e Cultura, do Instituto de Psicologia da Universidade de Brasília, sob orientação da segunda autora, Dra. Eliane Maria Fleury Seidl.</w:t>
      </w:r>
    </w:p>
  </w:footnote>
  <w:footnote w:id="2">
    <w:p w14:paraId="36084484" w14:textId="64ACEE84" w:rsidR="000E0201" w:rsidRPr="009D1AE0" w:rsidRDefault="000E0201" w:rsidP="00F25210">
      <w:pPr>
        <w:pStyle w:val="Textodenotaderodap"/>
        <w:spacing w:line="240" w:lineRule="auto"/>
        <w:ind w:left="0" w:hanging="2"/>
        <w:rPr>
          <w:rStyle w:val="Hyperlink"/>
          <w:rFonts w:ascii="Times New Roman" w:hAnsi="Times New Roman"/>
          <w:color w:val="auto"/>
        </w:rPr>
      </w:pPr>
      <w:r w:rsidRPr="009D1AE0">
        <w:rPr>
          <w:rStyle w:val="Refdenotaderodap"/>
          <w:rFonts w:ascii="Times New Roman" w:hAnsi="Times New Roman"/>
        </w:rPr>
        <w:footnoteRef/>
      </w:r>
      <w:r w:rsidRPr="009D1AE0">
        <w:rPr>
          <w:rFonts w:ascii="Times New Roman" w:hAnsi="Times New Roman"/>
        </w:rPr>
        <w:t xml:space="preserve"> Universidade de Brasília. </w:t>
      </w:r>
      <w:r w:rsidRPr="009D1AE0">
        <w:rPr>
          <w:rFonts w:ascii="Times New Roman" w:hAnsi="Times New Roman"/>
          <w:i/>
          <w:iCs/>
        </w:rPr>
        <w:t>E-mail:</w:t>
      </w:r>
      <w:r w:rsidRPr="009D1AE0">
        <w:rPr>
          <w:rFonts w:ascii="Times New Roman" w:hAnsi="Times New Roman"/>
        </w:rPr>
        <w:t xml:space="preserve"> </w:t>
      </w:r>
      <w:hyperlink r:id="rId1" w:history="1">
        <w:r w:rsidR="00431A9B" w:rsidRPr="00502DD7">
          <w:rPr>
            <w:rStyle w:val="Hyperlink"/>
            <w:rFonts w:ascii="Times New Roman" w:hAnsi="Times New Roman"/>
          </w:rPr>
          <w:t>rosadacostaaline@gmail.com</w:t>
        </w:r>
      </w:hyperlink>
      <w:r w:rsidR="00431A9B">
        <w:rPr>
          <w:rFonts w:ascii="Times New Roman" w:hAnsi="Times New Roman"/>
        </w:rPr>
        <w:t xml:space="preserve"> </w:t>
      </w:r>
      <w:r w:rsidRPr="009D1AE0">
        <w:rPr>
          <w:rFonts w:ascii="Times New Roman" w:hAnsi="Times New Roman"/>
          <w:i/>
          <w:iCs/>
        </w:rPr>
        <w:t>ORCID:</w:t>
      </w:r>
      <w:r w:rsidR="00102227" w:rsidRPr="009D1AE0">
        <w:rPr>
          <w:rFonts w:ascii="Times New Roman" w:hAnsi="Times New Roman"/>
        </w:rPr>
        <w:t xml:space="preserve"> </w:t>
      </w:r>
      <w:hyperlink r:id="rId2" w:history="1">
        <w:r w:rsidR="00431A9B" w:rsidRPr="00502DD7">
          <w:rPr>
            <w:rStyle w:val="Hyperlink"/>
            <w:rFonts w:ascii="Times New Roman" w:hAnsi="Times New Roman"/>
          </w:rPr>
          <w:t>https://orcid.org/0000-0002-2901-0777</w:t>
        </w:r>
      </w:hyperlink>
    </w:p>
  </w:footnote>
  <w:footnote w:id="3">
    <w:p w14:paraId="4229C8BF" w14:textId="2A459A95" w:rsidR="000E0201" w:rsidRPr="00487DF1" w:rsidRDefault="000E0201" w:rsidP="00F25210">
      <w:pPr>
        <w:pStyle w:val="Textodenotaderodap"/>
        <w:spacing w:line="240" w:lineRule="auto"/>
        <w:ind w:left="0" w:hanging="2"/>
        <w:rPr>
          <w:rFonts w:ascii="Times New Roman" w:hAnsi="Times New Roman"/>
        </w:rPr>
      </w:pPr>
      <w:r w:rsidRPr="009D1AE0">
        <w:rPr>
          <w:rStyle w:val="Refdenotaderodap"/>
          <w:rFonts w:ascii="Times New Roman" w:hAnsi="Times New Roman"/>
        </w:rPr>
        <w:footnoteRef/>
      </w:r>
      <w:r w:rsidRPr="009D1AE0">
        <w:rPr>
          <w:rFonts w:ascii="Times New Roman" w:hAnsi="Times New Roman"/>
        </w:rPr>
        <w:t xml:space="preserve"> Universidade de Brasília. </w:t>
      </w:r>
      <w:r w:rsidRPr="009D1AE0">
        <w:rPr>
          <w:rFonts w:ascii="Times New Roman" w:hAnsi="Times New Roman"/>
          <w:i/>
          <w:iCs/>
        </w:rPr>
        <w:t>E-mail:</w:t>
      </w:r>
      <w:r w:rsidRPr="009D1AE0">
        <w:rPr>
          <w:rFonts w:ascii="Times New Roman" w:hAnsi="Times New Roman"/>
        </w:rPr>
        <w:t xml:space="preserve"> </w:t>
      </w:r>
      <w:hyperlink r:id="rId3" w:history="1">
        <w:r w:rsidR="00431A9B" w:rsidRPr="00502DD7">
          <w:rPr>
            <w:rStyle w:val="Hyperlink"/>
            <w:rFonts w:ascii="Times New Roman" w:hAnsi="Times New Roman"/>
          </w:rPr>
          <w:t>eliane.seidl@gmail.com</w:t>
        </w:r>
      </w:hyperlink>
      <w:r w:rsidR="00431A9B">
        <w:rPr>
          <w:rFonts w:ascii="Times New Roman" w:hAnsi="Times New Roman"/>
        </w:rPr>
        <w:t xml:space="preserve"> </w:t>
      </w:r>
      <w:r w:rsidRPr="009D1AE0">
        <w:rPr>
          <w:rFonts w:ascii="Times New Roman" w:hAnsi="Times New Roman"/>
          <w:i/>
          <w:iCs/>
        </w:rPr>
        <w:t>ORCID:</w:t>
      </w:r>
      <w:r w:rsidRPr="009D1AE0">
        <w:rPr>
          <w:rFonts w:ascii="Times New Roman" w:hAnsi="Times New Roman"/>
        </w:rPr>
        <w:t xml:space="preserve"> </w:t>
      </w:r>
      <w:hyperlink r:id="rId4" w:history="1">
        <w:r w:rsidR="00431A9B" w:rsidRPr="00502DD7">
          <w:rPr>
            <w:rStyle w:val="Hyperlink"/>
            <w:rFonts w:ascii="Times New Roman" w:hAnsi="Times New Roman"/>
          </w:rPr>
          <w:t>https://orcid.org/0000-0002-1942-5100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E5550" w14:textId="77777777" w:rsidR="000E0201" w:rsidRDefault="000E0201">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E7AD" w14:textId="77777777" w:rsidR="000E0201" w:rsidRDefault="000E0201" w:rsidP="000E0201">
    <w:pPr>
      <w:pBdr>
        <w:top w:val="nil"/>
        <w:left w:val="nil"/>
        <w:bottom w:val="nil"/>
        <w:right w:val="nil"/>
        <w:between w:val="nil"/>
      </w:pBdr>
      <w:spacing w:line="276" w:lineRule="auto"/>
      <w:ind w:leftChars="0" w:left="0" w:firstLineChars="0" w:firstLine="0"/>
      <w:rPr>
        <w:rFonts w:ascii="Calibri" w:eastAsia="Calibri" w:hAnsi="Calibri" w:cs="Calibri"/>
        <w:color w:val="000000"/>
        <w:sz w:val="20"/>
        <w:szCs w:val="20"/>
      </w:rPr>
    </w:pPr>
  </w:p>
  <w:tbl>
    <w:tblPr>
      <w:tblStyle w:val="af8"/>
      <w:tblW w:w="9289" w:type="dxa"/>
      <w:tblInd w:w="-216"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729"/>
      <w:gridCol w:w="1062"/>
      <w:gridCol w:w="3498"/>
    </w:tblGrid>
    <w:tr w:rsidR="000E0201" w14:paraId="77ED62F7" w14:textId="77777777">
      <w:trPr>
        <w:trHeight w:val="792"/>
      </w:trPr>
      <w:tc>
        <w:tcPr>
          <w:tcW w:w="4729" w:type="dxa"/>
          <w:tcMar>
            <w:top w:w="0" w:type="dxa"/>
            <w:left w:w="108" w:type="dxa"/>
            <w:bottom w:w="0" w:type="dxa"/>
            <w:right w:w="108" w:type="dxa"/>
          </w:tcMar>
        </w:tcPr>
        <w:p w14:paraId="08339F8F" w14:textId="72F135C7" w:rsidR="000E0201" w:rsidRDefault="000E0201">
          <w:pPr>
            <w:keepNext/>
            <w:pBdr>
              <w:top w:val="nil"/>
              <w:left w:val="nil"/>
              <w:bottom w:val="nil"/>
              <w:right w:val="nil"/>
              <w:between w:val="nil"/>
            </w:pBdr>
            <w:spacing w:before="120" w:after="120"/>
            <w:ind w:left="0" w:hanging="2"/>
            <w:rPr>
              <w:color w:val="808080"/>
              <w:sz w:val="18"/>
              <w:szCs w:val="18"/>
              <w:highlight w:val="yellow"/>
            </w:rPr>
          </w:pPr>
          <w:r>
            <w:rPr>
              <w:i/>
              <w:color w:val="808080"/>
              <w:sz w:val="18"/>
              <w:szCs w:val="18"/>
            </w:rPr>
            <w:t xml:space="preserve">Psicol. </w:t>
          </w:r>
          <w:proofErr w:type="spellStart"/>
          <w:r>
            <w:rPr>
              <w:i/>
              <w:color w:val="808080"/>
              <w:sz w:val="18"/>
              <w:szCs w:val="18"/>
            </w:rPr>
            <w:t>Pesqui</w:t>
          </w:r>
          <w:proofErr w:type="spellEnd"/>
          <w:r>
            <w:rPr>
              <w:i/>
              <w:color w:val="808080"/>
              <w:sz w:val="18"/>
              <w:szCs w:val="18"/>
            </w:rPr>
            <w:t xml:space="preserve">. | </w:t>
          </w:r>
          <w:r w:rsidR="009D1AE0">
            <w:rPr>
              <w:i/>
              <w:color w:val="808080"/>
              <w:sz w:val="18"/>
              <w:szCs w:val="18"/>
            </w:rPr>
            <w:t>20</w:t>
          </w:r>
          <w:r>
            <w:rPr>
              <w:i/>
              <w:color w:val="808080"/>
              <w:sz w:val="18"/>
              <w:szCs w:val="18"/>
            </w:rPr>
            <w:t xml:space="preserve"> | </w:t>
          </w:r>
          <w:r w:rsidR="009D1AE0">
            <w:rPr>
              <w:i/>
              <w:color w:val="808080"/>
              <w:sz w:val="18"/>
              <w:szCs w:val="18"/>
            </w:rPr>
            <w:t xml:space="preserve">1-27 </w:t>
          </w:r>
          <w:r>
            <w:rPr>
              <w:i/>
              <w:color w:val="808080"/>
              <w:sz w:val="18"/>
              <w:szCs w:val="18"/>
            </w:rPr>
            <w:t xml:space="preserve">| </w:t>
          </w:r>
          <w:r w:rsidR="009D1AE0">
            <w:rPr>
              <w:i/>
              <w:color w:val="808080"/>
              <w:sz w:val="18"/>
              <w:szCs w:val="18"/>
            </w:rPr>
            <w:t>2026</w:t>
          </w:r>
        </w:p>
      </w:tc>
      <w:tc>
        <w:tcPr>
          <w:tcW w:w="1062" w:type="dxa"/>
          <w:tcMar>
            <w:top w:w="0" w:type="dxa"/>
            <w:left w:w="108" w:type="dxa"/>
            <w:bottom w:w="0" w:type="dxa"/>
            <w:right w:w="108" w:type="dxa"/>
          </w:tcMar>
        </w:tcPr>
        <w:p w14:paraId="3F7CDDE8" w14:textId="77777777" w:rsidR="000E0201" w:rsidRDefault="000E0201">
          <w:pPr>
            <w:keepNext/>
            <w:pBdr>
              <w:top w:val="nil"/>
              <w:left w:val="nil"/>
              <w:bottom w:val="nil"/>
              <w:right w:val="nil"/>
              <w:between w:val="nil"/>
            </w:pBdr>
            <w:spacing w:before="120" w:after="120"/>
            <w:ind w:left="0" w:hanging="2"/>
            <w:jc w:val="center"/>
            <w:rPr>
              <w:color w:val="808080"/>
              <w:sz w:val="18"/>
              <w:szCs w:val="18"/>
            </w:rPr>
          </w:pPr>
        </w:p>
      </w:tc>
      <w:tc>
        <w:tcPr>
          <w:tcW w:w="3498" w:type="dxa"/>
          <w:tcMar>
            <w:top w:w="0" w:type="dxa"/>
            <w:left w:w="108" w:type="dxa"/>
            <w:bottom w:w="0" w:type="dxa"/>
            <w:right w:w="108" w:type="dxa"/>
          </w:tcMar>
        </w:tcPr>
        <w:p w14:paraId="3459E686" w14:textId="402F9A9C" w:rsidR="000E0201" w:rsidRDefault="000E0201">
          <w:pPr>
            <w:keepNext/>
            <w:pBdr>
              <w:top w:val="nil"/>
              <w:left w:val="nil"/>
              <w:bottom w:val="nil"/>
              <w:right w:val="nil"/>
              <w:between w:val="nil"/>
            </w:pBdr>
            <w:spacing w:before="120" w:after="120"/>
            <w:ind w:left="0" w:hanging="2"/>
            <w:rPr>
              <w:color w:val="808080"/>
              <w:sz w:val="18"/>
              <w:szCs w:val="18"/>
            </w:rPr>
          </w:pPr>
          <w:r>
            <w:rPr>
              <w:i/>
              <w:color w:val="808080"/>
              <w:sz w:val="18"/>
              <w:szCs w:val="18"/>
            </w:rPr>
            <w:t>DOI:</w:t>
          </w:r>
          <w:r w:rsidR="00EA338B">
            <w:rPr>
              <w:i/>
              <w:color w:val="808080"/>
              <w:sz w:val="18"/>
              <w:szCs w:val="18"/>
            </w:rPr>
            <w:t xml:space="preserve"> </w:t>
          </w:r>
          <w:r w:rsidR="00EA338B" w:rsidRPr="00EA338B">
            <w:rPr>
              <w:i/>
              <w:color w:val="808080"/>
              <w:sz w:val="18"/>
              <w:szCs w:val="18"/>
            </w:rPr>
            <w:t>10.34019/1982-1247.2026.v20.43642</w:t>
          </w:r>
        </w:p>
      </w:tc>
    </w:tr>
  </w:tbl>
  <w:p w14:paraId="68FA9816" w14:textId="77777777" w:rsidR="000E0201" w:rsidRDefault="000E0201">
    <w:pPr>
      <w:pBdr>
        <w:top w:val="nil"/>
        <w:left w:val="nil"/>
        <w:bottom w:val="nil"/>
        <w:right w:val="nil"/>
        <w:between w:val="nil"/>
      </w:pBdr>
      <w:tabs>
        <w:tab w:val="left" w:pos="9733"/>
      </w:tabs>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D5B71" w14:textId="77777777" w:rsidR="000E0201" w:rsidRDefault="000E0201">
    <w:pPr>
      <w:pBdr>
        <w:top w:val="nil"/>
        <w:left w:val="nil"/>
        <w:bottom w:val="nil"/>
        <w:right w:val="nil"/>
        <w:between w:val="nil"/>
      </w:pBdr>
      <w:spacing w:line="276" w:lineRule="auto"/>
      <w:ind w:left="0" w:hanging="2"/>
      <w:rPr>
        <w:rFonts w:ascii="Calibri" w:eastAsia="Calibri" w:hAnsi="Calibri" w:cs="Calibri"/>
        <w:color w:val="000000"/>
        <w:sz w:val="20"/>
        <w:szCs w:val="20"/>
      </w:rPr>
    </w:pPr>
  </w:p>
  <w:tbl>
    <w:tblPr>
      <w:tblStyle w:val="af7"/>
      <w:tblW w:w="10396" w:type="dxa"/>
      <w:jc w:val="center"/>
      <w:tblInd w:w="0" w:type="dxa"/>
      <w:tblLayout w:type="fixed"/>
      <w:tblLook w:val="0000" w:firstRow="0" w:lastRow="0" w:firstColumn="0" w:lastColumn="0" w:noHBand="0" w:noVBand="0"/>
    </w:tblPr>
    <w:tblGrid>
      <w:gridCol w:w="1413"/>
      <w:gridCol w:w="7513"/>
      <w:gridCol w:w="1470"/>
    </w:tblGrid>
    <w:tr w:rsidR="000E0201" w14:paraId="20769CDD" w14:textId="77777777">
      <w:trPr>
        <w:trHeight w:val="40"/>
        <w:jc w:val="center"/>
      </w:trPr>
      <w:tc>
        <w:tcPr>
          <w:tcW w:w="1413" w:type="dxa"/>
          <w:shd w:val="clear" w:color="auto" w:fill="FDFDFD"/>
          <w:tcMar>
            <w:top w:w="0" w:type="dxa"/>
            <w:left w:w="108" w:type="dxa"/>
            <w:bottom w:w="0" w:type="dxa"/>
            <w:right w:w="108" w:type="dxa"/>
          </w:tcMar>
        </w:tcPr>
        <w:p w14:paraId="2809F32A" w14:textId="77777777" w:rsidR="000E0201" w:rsidRDefault="000E0201">
          <w:pPr>
            <w:pBdr>
              <w:top w:val="nil"/>
              <w:left w:val="nil"/>
              <w:bottom w:val="nil"/>
              <w:right w:val="nil"/>
              <w:between w:val="nil"/>
            </w:pBdr>
            <w:ind w:left="0" w:hanging="2"/>
            <w:rPr>
              <w:rFonts w:ascii="Calibri" w:eastAsia="Calibri" w:hAnsi="Calibri" w:cs="Calibri"/>
              <w:color w:val="000000"/>
            </w:rPr>
          </w:pPr>
        </w:p>
      </w:tc>
      <w:tc>
        <w:tcPr>
          <w:tcW w:w="7513" w:type="dxa"/>
          <w:shd w:val="clear" w:color="auto" w:fill="FDFDFD"/>
          <w:tcMar>
            <w:top w:w="0" w:type="dxa"/>
            <w:left w:w="108" w:type="dxa"/>
            <w:bottom w:w="0" w:type="dxa"/>
            <w:right w:w="108" w:type="dxa"/>
          </w:tcMar>
        </w:tcPr>
        <w:p w14:paraId="20C2686D" w14:textId="4751CD6D" w:rsidR="000E0201" w:rsidRDefault="000E0201">
          <w:pPr>
            <w:pBdr>
              <w:top w:val="nil"/>
              <w:left w:val="nil"/>
              <w:bottom w:val="nil"/>
              <w:right w:val="nil"/>
              <w:between w:val="nil"/>
            </w:pBdr>
            <w:spacing w:before="120" w:after="120"/>
            <w:ind w:left="0" w:hanging="2"/>
            <w:jc w:val="center"/>
            <w:rPr>
              <w:color w:val="000000"/>
              <w:sz w:val="20"/>
              <w:szCs w:val="20"/>
            </w:rPr>
          </w:pPr>
          <w:r>
            <w:rPr>
              <w:color w:val="000000"/>
              <w:sz w:val="20"/>
              <w:szCs w:val="20"/>
            </w:rPr>
            <w:t xml:space="preserve">Volume </w:t>
          </w:r>
          <w:r w:rsidR="009D1AE0">
            <w:rPr>
              <w:color w:val="000000"/>
              <w:sz w:val="20"/>
              <w:szCs w:val="20"/>
            </w:rPr>
            <w:t>20</w:t>
          </w:r>
          <w:r>
            <w:rPr>
              <w:color w:val="000000"/>
              <w:sz w:val="20"/>
              <w:szCs w:val="20"/>
            </w:rPr>
            <w:t>, 20</w:t>
          </w:r>
          <w:r w:rsidR="009D1AE0">
            <w:rPr>
              <w:color w:val="000000"/>
              <w:sz w:val="20"/>
              <w:szCs w:val="20"/>
            </w:rPr>
            <w:t>26</w:t>
          </w:r>
          <w:r>
            <w:rPr>
              <w:color w:val="000000"/>
              <w:sz w:val="20"/>
              <w:szCs w:val="20"/>
            </w:rPr>
            <w:t>, e</w:t>
          </w:r>
          <w:r w:rsidR="009D1AE0">
            <w:rPr>
              <w:color w:val="000000"/>
              <w:sz w:val="20"/>
              <w:szCs w:val="20"/>
            </w:rPr>
            <w:t>43642</w:t>
          </w:r>
        </w:p>
      </w:tc>
      <w:tc>
        <w:tcPr>
          <w:tcW w:w="1470" w:type="dxa"/>
          <w:tcBorders>
            <w:left w:val="nil"/>
          </w:tcBorders>
          <w:shd w:val="clear" w:color="auto" w:fill="FDFDFD"/>
          <w:tcMar>
            <w:top w:w="0" w:type="dxa"/>
            <w:left w:w="108" w:type="dxa"/>
            <w:bottom w:w="0" w:type="dxa"/>
            <w:right w:w="108" w:type="dxa"/>
          </w:tcMar>
          <w:vAlign w:val="center"/>
        </w:tcPr>
        <w:p w14:paraId="5D2CF317" w14:textId="77777777" w:rsidR="000E0201" w:rsidRDefault="000E0201">
          <w:pPr>
            <w:pBdr>
              <w:top w:val="nil"/>
              <w:left w:val="nil"/>
              <w:bottom w:val="nil"/>
              <w:right w:val="nil"/>
              <w:between w:val="nil"/>
            </w:pBdr>
            <w:tabs>
              <w:tab w:val="center" w:pos="4320"/>
              <w:tab w:val="left" w:pos="6804"/>
              <w:tab w:val="right" w:pos="8640"/>
            </w:tabs>
            <w:ind w:left="0" w:hanging="2"/>
            <w:rPr>
              <w:color w:val="000000"/>
            </w:rPr>
          </w:pPr>
        </w:p>
      </w:tc>
    </w:tr>
    <w:tr w:rsidR="000E0201" w14:paraId="6D870531" w14:textId="77777777">
      <w:trPr>
        <w:trHeight w:val="1460"/>
        <w:jc w:val="center"/>
      </w:trPr>
      <w:tc>
        <w:tcPr>
          <w:tcW w:w="1413" w:type="dxa"/>
          <w:shd w:val="clear" w:color="auto" w:fill="FDFDFD"/>
          <w:tcMar>
            <w:top w:w="0" w:type="dxa"/>
            <w:left w:w="108" w:type="dxa"/>
            <w:bottom w:w="0" w:type="dxa"/>
            <w:right w:w="108" w:type="dxa"/>
          </w:tcMar>
          <w:vAlign w:val="center"/>
        </w:tcPr>
        <w:p w14:paraId="016C8628" w14:textId="77777777" w:rsidR="000E0201" w:rsidRDefault="000E0201">
          <w:pPr>
            <w:pBdr>
              <w:top w:val="nil"/>
              <w:left w:val="nil"/>
              <w:bottom w:val="nil"/>
              <w:right w:val="nil"/>
              <w:between w:val="nil"/>
            </w:pBdr>
            <w:spacing w:line="276" w:lineRule="auto"/>
            <w:ind w:left="0" w:hanging="2"/>
            <w:rPr>
              <w:rFonts w:ascii="Calibri" w:eastAsia="Calibri" w:hAnsi="Calibri" w:cs="Calibri"/>
              <w:color w:val="FF0000"/>
              <w:sz w:val="20"/>
              <w:szCs w:val="20"/>
            </w:rPr>
          </w:pPr>
        </w:p>
      </w:tc>
      <w:tc>
        <w:tcPr>
          <w:tcW w:w="7513" w:type="dxa"/>
          <w:shd w:val="clear" w:color="auto" w:fill="B8CCE4"/>
          <w:tcMar>
            <w:top w:w="0" w:type="dxa"/>
            <w:left w:w="108" w:type="dxa"/>
            <w:bottom w:w="0" w:type="dxa"/>
            <w:right w:w="108" w:type="dxa"/>
          </w:tcMar>
          <w:vAlign w:val="center"/>
        </w:tcPr>
        <w:p w14:paraId="3B636507" w14:textId="77777777" w:rsidR="000E0201" w:rsidRDefault="000E0201">
          <w:pPr>
            <w:pBdr>
              <w:top w:val="nil"/>
              <w:left w:val="nil"/>
              <w:bottom w:val="nil"/>
              <w:right w:val="nil"/>
              <w:between w:val="nil"/>
            </w:pBdr>
            <w:tabs>
              <w:tab w:val="center" w:pos="3223"/>
              <w:tab w:val="right" w:pos="6446"/>
            </w:tabs>
            <w:spacing w:line="276" w:lineRule="auto"/>
            <w:ind w:left="3" w:hanging="5"/>
            <w:jc w:val="center"/>
            <w:rPr>
              <w:color w:val="000000"/>
              <w:sz w:val="48"/>
              <w:szCs w:val="48"/>
            </w:rPr>
          </w:pPr>
          <w:r>
            <w:rPr>
              <w:b/>
              <w:color w:val="000000"/>
              <w:sz w:val="48"/>
              <w:szCs w:val="48"/>
            </w:rPr>
            <w:t>Psicologia em Pesquisa</w:t>
          </w:r>
        </w:p>
        <w:p w14:paraId="6F2795BB" w14:textId="77777777" w:rsidR="000E0201" w:rsidRDefault="000E0201">
          <w:pPr>
            <w:pBdr>
              <w:top w:val="nil"/>
              <w:left w:val="nil"/>
              <w:bottom w:val="nil"/>
              <w:right w:val="nil"/>
              <w:between w:val="nil"/>
            </w:pBdr>
            <w:shd w:val="clear" w:color="auto" w:fill="B8CCE4"/>
            <w:tabs>
              <w:tab w:val="center" w:pos="4320"/>
              <w:tab w:val="left" w:pos="5040"/>
              <w:tab w:val="right" w:pos="8640"/>
            </w:tabs>
            <w:spacing w:line="276" w:lineRule="auto"/>
            <w:ind w:left="0" w:hanging="2"/>
            <w:jc w:val="center"/>
            <w:rPr>
              <w:color w:val="000000"/>
            </w:rPr>
          </w:pPr>
        </w:p>
        <w:p w14:paraId="5CA82A95" w14:textId="77777777" w:rsidR="000E0201" w:rsidRDefault="000E0201">
          <w:pPr>
            <w:pBdr>
              <w:top w:val="nil"/>
              <w:left w:val="nil"/>
              <w:bottom w:val="nil"/>
              <w:right w:val="nil"/>
              <w:between w:val="nil"/>
            </w:pBdr>
            <w:spacing w:before="120" w:after="120" w:line="276" w:lineRule="auto"/>
            <w:ind w:left="0" w:hanging="2"/>
            <w:jc w:val="center"/>
            <w:rPr>
              <w:rFonts w:ascii="Calibri" w:eastAsia="Calibri" w:hAnsi="Calibri" w:cs="Calibri"/>
              <w:color w:val="FF0000"/>
              <w:sz w:val="20"/>
              <w:szCs w:val="20"/>
            </w:rPr>
          </w:pPr>
          <w:r>
            <w:rPr>
              <w:color w:val="000000"/>
              <w:sz w:val="20"/>
              <w:szCs w:val="20"/>
            </w:rPr>
            <w:t>https://periodicos.ufjf.br/index.php/psicologiaempesquisa</w:t>
          </w:r>
        </w:p>
      </w:tc>
      <w:tc>
        <w:tcPr>
          <w:tcW w:w="1470" w:type="dxa"/>
          <w:tcBorders>
            <w:left w:val="nil"/>
          </w:tcBorders>
          <w:shd w:val="clear" w:color="auto" w:fill="FDFDFD"/>
          <w:tcMar>
            <w:top w:w="0" w:type="dxa"/>
            <w:left w:w="108" w:type="dxa"/>
            <w:bottom w:w="0" w:type="dxa"/>
            <w:right w:w="108" w:type="dxa"/>
          </w:tcMar>
          <w:vAlign w:val="center"/>
        </w:tcPr>
        <w:p w14:paraId="3A767583" w14:textId="77777777" w:rsidR="000E0201" w:rsidRDefault="000E0201">
          <w:pPr>
            <w:pBdr>
              <w:top w:val="nil"/>
              <w:left w:val="nil"/>
              <w:bottom w:val="nil"/>
              <w:right w:val="nil"/>
              <w:between w:val="nil"/>
            </w:pBdr>
            <w:spacing w:line="276" w:lineRule="auto"/>
            <w:ind w:left="0" w:hanging="2"/>
            <w:rPr>
              <w:rFonts w:ascii="Calibri" w:eastAsia="Calibri" w:hAnsi="Calibri" w:cs="Calibri"/>
              <w:color w:val="FF0000"/>
              <w:sz w:val="20"/>
              <w:szCs w:val="20"/>
            </w:rPr>
          </w:pPr>
        </w:p>
      </w:tc>
    </w:tr>
  </w:tbl>
  <w:p w14:paraId="6FDF2A80" w14:textId="77777777" w:rsidR="000E0201" w:rsidRDefault="000E0201">
    <w:pPr>
      <w:pBdr>
        <w:top w:val="nil"/>
        <w:left w:val="nil"/>
        <w:bottom w:val="nil"/>
        <w:right w:val="nil"/>
        <w:between w:val="nil"/>
      </w:pBdr>
      <w:tabs>
        <w:tab w:val="center" w:pos="4252"/>
        <w:tab w:val="right" w:pos="8504"/>
      </w:tabs>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35B42"/>
    <w:multiLevelType w:val="hybridMultilevel"/>
    <w:tmpl w:val="E904BA94"/>
    <w:lvl w:ilvl="0" w:tplc="02A82A36">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
    <w:nsid w:val="34BF3483"/>
    <w:multiLevelType w:val="hybridMultilevel"/>
    <w:tmpl w:val="8B5CEE54"/>
    <w:lvl w:ilvl="0" w:tplc="82D003C8">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CD"/>
    <w:rsid w:val="000067D7"/>
    <w:rsid w:val="00007A57"/>
    <w:rsid w:val="0001081D"/>
    <w:rsid w:val="0001193C"/>
    <w:rsid w:val="00011A99"/>
    <w:rsid w:val="000227C2"/>
    <w:rsid w:val="000245BB"/>
    <w:rsid w:val="00024CE8"/>
    <w:rsid w:val="00027DE8"/>
    <w:rsid w:val="00032994"/>
    <w:rsid w:val="000450EC"/>
    <w:rsid w:val="00062E09"/>
    <w:rsid w:val="00075558"/>
    <w:rsid w:val="00082AA1"/>
    <w:rsid w:val="000A4840"/>
    <w:rsid w:val="000A546A"/>
    <w:rsid w:val="000A6C87"/>
    <w:rsid w:val="000B38E5"/>
    <w:rsid w:val="000D2B25"/>
    <w:rsid w:val="000E0201"/>
    <w:rsid w:val="000E4744"/>
    <w:rsid w:val="000E66AE"/>
    <w:rsid w:val="000F5937"/>
    <w:rsid w:val="000F76BF"/>
    <w:rsid w:val="00102227"/>
    <w:rsid w:val="00106AB7"/>
    <w:rsid w:val="0011118F"/>
    <w:rsid w:val="00120271"/>
    <w:rsid w:val="0015297B"/>
    <w:rsid w:val="001868E8"/>
    <w:rsid w:val="001926A5"/>
    <w:rsid w:val="00192832"/>
    <w:rsid w:val="001969FD"/>
    <w:rsid w:val="001A420E"/>
    <w:rsid w:val="001A5881"/>
    <w:rsid w:val="001B00E2"/>
    <w:rsid w:val="001B0594"/>
    <w:rsid w:val="001B5DA1"/>
    <w:rsid w:val="001B6F2A"/>
    <w:rsid w:val="001B7834"/>
    <w:rsid w:val="001E1C5D"/>
    <w:rsid w:val="001E38FF"/>
    <w:rsid w:val="001F6076"/>
    <w:rsid w:val="001F68F3"/>
    <w:rsid w:val="002010F3"/>
    <w:rsid w:val="002130B9"/>
    <w:rsid w:val="00223D3E"/>
    <w:rsid w:val="00225433"/>
    <w:rsid w:val="00226DC0"/>
    <w:rsid w:val="0023668C"/>
    <w:rsid w:val="00251B3B"/>
    <w:rsid w:val="002541E0"/>
    <w:rsid w:val="00265B23"/>
    <w:rsid w:val="00266A43"/>
    <w:rsid w:val="0027068C"/>
    <w:rsid w:val="002741EB"/>
    <w:rsid w:val="00292DFF"/>
    <w:rsid w:val="00292F04"/>
    <w:rsid w:val="002944B9"/>
    <w:rsid w:val="00294736"/>
    <w:rsid w:val="002A4826"/>
    <w:rsid w:val="002B7BBB"/>
    <w:rsid w:val="002E5421"/>
    <w:rsid w:val="002E7F42"/>
    <w:rsid w:val="002F2265"/>
    <w:rsid w:val="00310FB6"/>
    <w:rsid w:val="00337F65"/>
    <w:rsid w:val="00354B16"/>
    <w:rsid w:val="003804BB"/>
    <w:rsid w:val="00393698"/>
    <w:rsid w:val="00397064"/>
    <w:rsid w:val="003970E0"/>
    <w:rsid w:val="003B0BBE"/>
    <w:rsid w:val="003B3BDB"/>
    <w:rsid w:val="003B5B5D"/>
    <w:rsid w:val="003C7390"/>
    <w:rsid w:val="003D328F"/>
    <w:rsid w:val="003D44D2"/>
    <w:rsid w:val="003E0DAA"/>
    <w:rsid w:val="003E5937"/>
    <w:rsid w:val="003F531A"/>
    <w:rsid w:val="003F590C"/>
    <w:rsid w:val="003F71A8"/>
    <w:rsid w:val="004069AF"/>
    <w:rsid w:val="0041012C"/>
    <w:rsid w:val="00412A95"/>
    <w:rsid w:val="00413871"/>
    <w:rsid w:val="004212E0"/>
    <w:rsid w:val="00430C66"/>
    <w:rsid w:val="00431A9B"/>
    <w:rsid w:val="004426B4"/>
    <w:rsid w:val="00451845"/>
    <w:rsid w:val="00463855"/>
    <w:rsid w:val="00463C1D"/>
    <w:rsid w:val="00466DD3"/>
    <w:rsid w:val="00487DF1"/>
    <w:rsid w:val="004A786A"/>
    <w:rsid w:val="004C47C5"/>
    <w:rsid w:val="004C60B7"/>
    <w:rsid w:val="004E37BB"/>
    <w:rsid w:val="004F5EC5"/>
    <w:rsid w:val="00521F14"/>
    <w:rsid w:val="00523FBF"/>
    <w:rsid w:val="00532A68"/>
    <w:rsid w:val="00533351"/>
    <w:rsid w:val="00547FDD"/>
    <w:rsid w:val="0055652F"/>
    <w:rsid w:val="00560FEB"/>
    <w:rsid w:val="005818ED"/>
    <w:rsid w:val="005902B4"/>
    <w:rsid w:val="00591C5C"/>
    <w:rsid w:val="005B183E"/>
    <w:rsid w:val="005B5B93"/>
    <w:rsid w:val="005D14FC"/>
    <w:rsid w:val="005D54AD"/>
    <w:rsid w:val="005E265B"/>
    <w:rsid w:val="005F08F8"/>
    <w:rsid w:val="005F2582"/>
    <w:rsid w:val="005F3603"/>
    <w:rsid w:val="006024CC"/>
    <w:rsid w:val="00616246"/>
    <w:rsid w:val="00622AA3"/>
    <w:rsid w:val="00630C9D"/>
    <w:rsid w:val="00637B10"/>
    <w:rsid w:val="0064149D"/>
    <w:rsid w:val="00660132"/>
    <w:rsid w:val="00667132"/>
    <w:rsid w:val="006950CD"/>
    <w:rsid w:val="006A1C95"/>
    <w:rsid w:val="006E2D02"/>
    <w:rsid w:val="006F3111"/>
    <w:rsid w:val="007139B1"/>
    <w:rsid w:val="007262F2"/>
    <w:rsid w:val="00726B93"/>
    <w:rsid w:val="0073093A"/>
    <w:rsid w:val="00731466"/>
    <w:rsid w:val="00747A7F"/>
    <w:rsid w:val="00760E28"/>
    <w:rsid w:val="00786AE6"/>
    <w:rsid w:val="007878DB"/>
    <w:rsid w:val="00795342"/>
    <w:rsid w:val="007A6D3C"/>
    <w:rsid w:val="007C376B"/>
    <w:rsid w:val="007F30A3"/>
    <w:rsid w:val="007F45BB"/>
    <w:rsid w:val="0080198F"/>
    <w:rsid w:val="00804DA6"/>
    <w:rsid w:val="00813973"/>
    <w:rsid w:val="00824FCD"/>
    <w:rsid w:val="0082593F"/>
    <w:rsid w:val="0084231A"/>
    <w:rsid w:val="008448FC"/>
    <w:rsid w:val="008555C4"/>
    <w:rsid w:val="00880FF8"/>
    <w:rsid w:val="0088376A"/>
    <w:rsid w:val="008B4224"/>
    <w:rsid w:val="008B6AE1"/>
    <w:rsid w:val="008C4674"/>
    <w:rsid w:val="008C7500"/>
    <w:rsid w:val="008D1CC1"/>
    <w:rsid w:val="008D6B69"/>
    <w:rsid w:val="0091343F"/>
    <w:rsid w:val="00917494"/>
    <w:rsid w:val="00927F48"/>
    <w:rsid w:val="00932EE8"/>
    <w:rsid w:val="00936998"/>
    <w:rsid w:val="00966431"/>
    <w:rsid w:val="0098223D"/>
    <w:rsid w:val="0098249D"/>
    <w:rsid w:val="00983F66"/>
    <w:rsid w:val="009B3DA3"/>
    <w:rsid w:val="009B677F"/>
    <w:rsid w:val="009D1AE0"/>
    <w:rsid w:val="009F7B34"/>
    <w:rsid w:val="00A12CB2"/>
    <w:rsid w:val="00A135E0"/>
    <w:rsid w:val="00A24255"/>
    <w:rsid w:val="00A2444F"/>
    <w:rsid w:val="00A26804"/>
    <w:rsid w:val="00A32E8F"/>
    <w:rsid w:val="00A3313F"/>
    <w:rsid w:val="00A40666"/>
    <w:rsid w:val="00A455BF"/>
    <w:rsid w:val="00A46A12"/>
    <w:rsid w:val="00A50767"/>
    <w:rsid w:val="00A553F0"/>
    <w:rsid w:val="00A70595"/>
    <w:rsid w:val="00A733C5"/>
    <w:rsid w:val="00A73430"/>
    <w:rsid w:val="00A75691"/>
    <w:rsid w:val="00A77AA1"/>
    <w:rsid w:val="00A77B2B"/>
    <w:rsid w:val="00A822E3"/>
    <w:rsid w:val="00A82EE0"/>
    <w:rsid w:val="00AA029F"/>
    <w:rsid w:val="00AA2C22"/>
    <w:rsid w:val="00AB5C23"/>
    <w:rsid w:val="00AB7183"/>
    <w:rsid w:val="00AC0D1C"/>
    <w:rsid w:val="00AE0853"/>
    <w:rsid w:val="00AF48D0"/>
    <w:rsid w:val="00B04915"/>
    <w:rsid w:val="00B15DB6"/>
    <w:rsid w:val="00B24395"/>
    <w:rsid w:val="00B256CF"/>
    <w:rsid w:val="00B301C8"/>
    <w:rsid w:val="00B32619"/>
    <w:rsid w:val="00B35477"/>
    <w:rsid w:val="00B42F39"/>
    <w:rsid w:val="00B44438"/>
    <w:rsid w:val="00B4469A"/>
    <w:rsid w:val="00B62D94"/>
    <w:rsid w:val="00B63141"/>
    <w:rsid w:val="00B73AEF"/>
    <w:rsid w:val="00B82D0A"/>
    <w:rsid w:val="00B86693"/>
    <w:rsid w:val="00BA284D"/>
    <w:rsid w:val="00BB2351"/>
    <w:rsid w:val="00BB4E09"/>
    <w:rsid w:val="00BC06FD"/>
    <w:rsid w:val="00BC4F5B"/>
    <w:rsid w:val="00BD7ECD"/>
    <w:rsid w:val="00BF1195"/>
    <w:rsid w:val="00BF302A"/>
    <w:rsid w:val="00BF4DAB"/>
    <w:rsid w:val="00C156C0"/>
    <w:rsid w:val="00C20FB9"/>
    <w:rsid w:val="00C256D2"/>
    <w:rsid w:val="00C312FE"/>
    <w:rsid w:val="00C41526"/>
    <w:rsid w:val="00C46EB8"/>
    <w:rsid w:val="00C47BD2"/>
    <w:rsid w:val="00C520CB"/>
    <w:rsid w:val="00C5505F"/>
    <w:rsid w:val="00C700AC"/>
    <w:rsid w:val="00C77558"/>
    <w:rsid w:val="00C92C20"/>
    <w:rsid w:val="00C95DE2"/>
    <w:rsid w:val="00C97DCE"/>
    <w:rsid w:val="00C97DD0"/>
    <w:rsid w:val="00CA18EF"/>
    <w:rsid w:val="00CB0376"/>
    <w:rsid w:val="00CC3E24"/>
    <w:rsid w:val="00CC7626"/>
    <w:rsid w:val="00CD16BE"/>
    <w:rsid w:val="00CD4ABD"/>
    <w:rsid w:val="00CD613D"/>
    <w:rsid w:val="00CE0A4B"/>
    <w:rsid w:val="00CE418A"/>
    <w:rsid w:val="00CE4EC9"/>
    <w:rsid w:val="00CF78C0"/>
    <w:rsid w:val="00D15E47"/>
    <w:rsid w:val="00D27761"/>
    <w:rsid w:val="00D30886"/>
    <w:rsid w:val="00D50EFD"/>
    <w:rsid w:val="00D5170B"/>
    <w:rsid w:val="00D5604C"/>
    <w:rsid w:val="00D56DA2"/>
    <w:rsid w:val="00D744CE"/>
    <w:rsid w:val="00D82A05"/>
    <w:rsid w:val="00D90ABD"/>
    <w:rsid w:val="00D94B03"/>
    <w:rsid w:val="00D97991"/>
    <w:rsid w:val="00DA6506"/>
    <w:rsid w:val="00DB26D3"/>
    <w:rsid w:val="00DC2FB6"/>
    <w:rsid w:val="00DC5CA3"/>
    <w:rsid w:val="00DE2BBA"/>
    <w:rsid w:val="00DE680B"/>
    <w:rsid w:val="00DF3786"/>
    <w:rsid w:val="00DF6505"/>
    <w:rsid w:val="00E05754"/>
    <w:rsid w:val="00E242CC"/>
    <w:rsid w:val="00E42970"/>
    <w:rsid w:val="00E523D4"/>
    <w:rsid w:val="00E55282"/>
    <w:rsid w:val="00E55A13"/>
    <w:rsid w:val="00E63C29"/>
    <w:rsid w:val="00E64F94"/>
    <w:rsid w:val="00E703FA"/>
    <w:rsid w:val="00E7296D"/>
    <w:rsid w:val="00E749AA"/>
    <w:rsid w:val="00E814B9"/>
    <w:rsid w:val="00E855FE"/>
    <w:rsid w:val="00EA1BDE"/>
    <w:rsid w:val="00EA338B"/>
    <w:rsid w:val="00EA340D"/>
    <w:rsid w:val="00EB0D84"/>
    <w:rsid w:val="00ED5AFB"/>
    <w:rsid w:val="00EE16C0"/>
    <w:rsid w:val="00EE7303"/>
    <w:rsid w:val="00EF711B"/>
    <w:rsid w:val="00F017D9"/>
    <w:rsid w:val="00F04562"/>
    <w:rsid w:val="00F1708E"/>
    <w:rsid w:val="00F2363D"/>
    <w:rsid w:val="00F25210"/>
    <w:rsid w:val="00F26222"/>
    <w:rsid w:val="00F35F55"/>
    <w:rsid w:val="00F37F41"/>
    <w:rsid w:val="00F42C65"/>
    <w:rsid w:val="00F44F88"/>
    <w:rsid w:val="00F547B1"/>
    <w:rsid w:val="00F608C0"/>
    <w:rsid w:val="00F67C92"/>
    <w:rsid w:val="00F82055"/>
    <w:rsid w:val="00F84380"/>
    <w:rsid w:val="00F8758F"/>
    <w:rsid w:val="00FA2E48"/>
    <w:rsid w:val="00FB0C31"/>
    <w:rsid w:val="00FC3846"/>
    <w:rsid w:val="00FD05C7"/>
    <w:rsid w:val="00FD7EE8"/>
    <w:rsid w:val="00FE1CB0"/>
    <w:rsid w:val="00FE2DC6"/>
    <w:rsid w:val="00FE410A"/>
    <w:rsid w:val="00FE5E58"/>
    <w:rsid w:val="00FF0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85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spacing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Standard"/>
    <w:next w:val="Standard"/>
    <w:uiPriority w:val="9"/>
    <w:semiHidden/>
    <w:unhideWhenUsed/>
    <w:qFormat/>
    <w:pPr>
      <w:keepNext/>
      <w:spacing w:before="240" w:after="60"/>
      <w:outlineLvl w:val="1"/>
    </w:pPr>
    <w:rPr>
      <w:rFonts w:eastAsia="MS Gothic" w:cs="Times New Roman"/>
      <w:b/>
      <w:bCs/>
      <w:i/>
      <w:iCs/>
      <w:sz w:val="28"/>
      <w:szCs w:val="28"/>
    </w:rPr>
  </w:style>
  <w:style w:type="paragraph" w:styleId="Ttulo3">
    <w:name w:val="heading 3"/>
    <w:basedOn w:val="Standard"/>
    <w:next w:val="Standard"/>
    <w:uiPriority w:val="9"/>
    <w:semiHidden/>
    <w:unhideWhenUsed/>
    <w:qFormat/>
    <w:pPr>
      <w:keepNext/>
      <w:spacing w:before="240" w:after="60"/>
      <w:outlineLvl w:val="2"/>
    </w:pPr>
    <w:rPr>
      <w:rFonts w:eastAsia="MS Gothic" w:cs="Times New Roman"/>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Standard"/>
    <w:next w:val="Textbody"/>
    <w:uiPriority w:val="10"/>
    <w:qFormat/>
    <w:pPr>
      <w:keepNext/>
      <w:spacing w:before="240" w:after="120"/>
    </w:pPr>
    <w:rPr>
      <w:rFonts w:ascii="Arial" w:eastAsia="MS Mincho" w:hAnsi="Arial" w:cs="Tahoma"/>
      <w:sz w:val="28"/>
      <w:szCs w:val="28"/>
    </w:rPr>
  </w:style>
  <w:style w:type="table" w:customStyle="1" w:styleId="NormalTable0">
    <w:name w:val="Normal Table0"/>
    <w:pPr>
      <w:suppressAutoHyphens/>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Normal0">
    <w:name w:val="Table Normal"/>
    <w:next w:val="TableNormal"/>
    <w:pPr>
      <w:suppressAutoHyphens/>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Normal1">
    <w:name w:val="Table Normal1"/>
    <w:pPr>
      <w:spacing w:line="1" w:lineRule="atLeast"/>
      <w:ind w:leftChars="-1" w:left="-1" w:hangingChars="1" w:hanging="1"/>
      <w:textAlignment w:val="top"/>
      <w:outlineLvl w:val="0"/>
    </w:pPr>
    <w:rPr>
      <w:position w:val="-1"/>
    </w:rPr>
    <w:tblPr>
      <w:tblCellMar>
        <w:top w:w="0" w:type="dxa"/>
        <w:left w:w="0" w:type="dxa"/>
        <w:bottom w:w="0" w:type="dxa"/>
        <w:right w:w="0" w:type="dxa"/>
      </w:tblCellMar>
    </w:tblPr>
  </w:style>
  <w:style w:type="table" w:customStyle="1" w:styleId="TableNormal2">
    <w:name w:val="Table Normal2"/>
    <w:pPr>
      <w:spacing w:line="1" w:lineRule="atLeast"/>
      <w:ind w:leftChars="-1" w:left="-1" w:hangingChars="1" w:hanging="1"/>
      <w:textAlignment w:val="top"/>
      <w:outlineLvl w:val="0"/>
    </w:pPr>
    <w:rPr>
      <w:position w:val="-1"/>
    </w:rPr>
    <w:tblPr>
      <w:tblCellMar>
        <w:top w:w="0" w:type="dxa"/>
        <w:left w:w="0" w:type="dxa"/>
        <w:bottom w:w="0" w:type="dxa"/>
        <w:right w:w="0" w:type="dxa"/>
      </w:tblCellMar>
    </w:tblPr>
  </w:style>
  <w:style w:type="paragraph" w:customStyle="1" w:styleId="Standard">
    <w:name w:val="Standard"/>
    <w:pPr>
      <w:suppressAutoHyphens/>
      <w:spacing w:line="1" w:lineRule="atLeast"/>
      <w:ind w:leftChars="-1" w:left="-1" w:hangingChars="1" w:hanging="1"/>
      <w:textAlignment w:val="top"/>
      <w:outlineLvl w:val="0"/>
    </w:pPr>
    <w:rPr>
      <w:rFonts w:ascii="Calibri" w:eastAsia="Bitstream Vera Sans" w:hAnsi="Calibri" w:cs="Cambria"/>
      <w:position w:val="-1"/>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facom-direo">
    <w:name w:val="facom-direção"/>
    <w:pPr>
      <w:suppressAutoHyphens/>
      <w:spacing w:line="1" w:lineRule="atLeast"/>
      <w:ind w:leftChars="-1" w:left="-1" w:hangingChars="1" w:hanging="1"/>
      <w:textAlignment w:val="top"/>
      <w:outlineLvl w:val="0"/>
    </w:pPr>
    <w:rPr>
      <w:rFonts w:ascii="Calibri" w:eastAsia="Bitstream Vera Sans" w:hAnsi="Calibri" w:cs="Cambria"/>
      <w:position w:val="-1"/>
    </w:rPr>
  </w:style>
  <w:style w:type="paragraph" w:customStyle="1" w:styleId="Footnote">
    <w:name w:val="Footnote"/>
    <w:basedOn w:val="Standard"/>
  </w:style>
  <w:style w:type="paragraph" w:customStyle="1" w:styleId="notaderodap">
    <w:name w:val="nota de rodapé"/>
    <w:basedOn w:val="Footnote"/>
    <w:rPr>
      <w:sz w:val="20"/>
    </w:rPr>
  </w:style>
  <w:style w:type="paragraph" w:customStyle="1" w:styleId="citaes">
    <w:name w:val="citações"/>
    <w:basedOn w:val="Standard"/>
    <w:pPr>
      <w:ind w:left="2268"/>
    </w:pPr>
    <w:rPr>
      <w:rFonts w:eastAsia="MS Mincho"/>
      <w:color w:val="000000"/>
      <w:sz w:val="20"/>
      <w:szCs w:val="20"/>
    </w:rPr>
  </w:style>
  <w:style w:type="paragraph" w:styleId="Rodap">
    <w:name w:val="footer"/>
    <w:basedOn w:val="Normal"/>
    <w:uiPriority w:val="99"/>
  </w:style>
  <w:style w:type="paragraph" w:customStyle="1" w:styleId="rodap0">
    <w:name w:val="rodapé"/>
    <w:basedOn w:val="Footnote"/>
    <w:next w:val="Footnote"/>
    <w:pPr>
      <w:suppressLineNumbers/>
      <w:ind w:left="283" w:hanging="283"/>
    </w:pPr>
    <w:rPr>
      <w:rFonts w:eastAsia="MS Mincho"/>
      <w:color w:val="000000"/>
      <w:sz w:val="18"/>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eridicos-itensparaedio">
    <w:name w:val="Periódicos-itens para edição"/>
    <w:basedOn w:val="Standard"/>
    <w:pPr>
      <w:spacing w:before="120" w:after="120"/>
      <w:jc w:val="center"/>
    </w:pPr>
    <w:rPr>
      <w:color w:val="FF0000"/>
      <w:sz w:val="20"/>
    </w:rPr>
  </w:style>
  <w:style w:type="paragraph" w:customStyle="1" w:styleId="titulodarevista">
    <w:name w:val="titulo da revista"/>
    <w:basedOn w:val="Standard"/>
    <w:pPr>
      <w:jc w:val="center"/>
    </w:pPr>
    <w:rPr>
      <w:sz w:val="48"/>
      <w:szCs w:val="48"/>
    </w:rPr>
  </w:style>
  <w:style w:type="paragraph" w:customStyle="1" w:styleId="nome-revista">
    <w:name w:val="nome- revista"/>
    <w:basedOn w:val="Standard"/>
    <w:pPr>
      <w:jc w:val="center"/>
    </w:pPr>
    <w:rPr>
      <w:b/>
      <w:sz w:val="36"/>
    </w:rPr>
  </w:style>
  <w:style w:type="paragraph" w:styleId="Textodebalo">
    <w:name w:val="Balloon Text"/>
    <w:basedOn w:val="Normal"/>
    <w:rPr>
      <w:rFonts w:ascii="Segoe UI" w:hAnsi="Segoe UI" w:cs="Segoe UI"/>
      <w:sz w:val="18"/>
      <w:szCs w:val="18"/>
    </w:rPr>
  </w:style>
  <w:style w:type="paragraph" w:customStyle="1" w:styleId="nome-revista0">
    <w:name w:val="nome-revista"/>
    <w:basedOn w:val="Standard"/>
    <w:pPr>
      <w:jc w:val="center"/>
    </w:pPr>
    <w:rPr>
      <w:sz w:val="40"/>
    </w:rPr>
  </w:style>
  <w:style w:type="paragraph" w:styleId="Cabealho">
    <w:name w:val="header"/>
    <w:basedOn w:val="Normal"/>
  </w:style>
  <w:style w:type="paragraph" w:customStyle="1" w:styleId="Footeruser">
    <w:name w:val="Footer (user)"/>
    <w:basedOn w:val="Standard"/>
  </w:style>
  <w:style w:type="paragraph" w:customStyle="1" w:styleId="ttulodoartigo">
    <w:name w:val="título do artigo"/>
    <w:basedOn w:val="Ttulo3"/>
    <w:pPr>
      <w:spacing w:before="120" w:after="120"/>
      <w:jc w:val="left"/>
    </w:pPr>
    <w:rPr>
      <w:rFonts w:ascii="Times New Roman" w:eastAsia="Times New Roman" w:hAnsi="Times New Roman"/>
      <w:color w:val="000000"/>
      <w:sz w:val="36"/>
      <w:szCs w:val="36"/>
    </w:rPr>
  </w:style>
  <w:style w:type="paragraph" w:customStyle="1" w:styleId="nome-autores-esquerda">
    <w:name w:val="nome-autores-esquerda"/>
    <w:basedOn w:val="ttulodoartigo"/>
    <w:pPr>
      <w:spacing w:before="0" w:after="0" w:line="360" w:lineRule="auto"/>
    </w:pPr>
    <w:rPr>
      <w:b w:val="0"/>
      <w:bCs w:val="0"/>
      <w:iCs/>
      <w:color w:val="0D0D0D"/>
      <w:sz w:val="24"/>
      <w:szCs w:val="24"/>
    </w:rPr>
  </w:style>
  <w:style w:type="paragraph" w:customStyle="1" w:styleId="notas-de-rodap">
    <w:name w:val="notas-de-rodapé"/>
    <w:basedOn w:val="Footnote"/>
    <w:rPr>
      <w:color w:val="000000"/>
      <w:sz w:val="20"/>
      <w:szCs w:val="20"/>
    </w:rPr>
  </w:style>
  <w:style w:type="paragraph" w:customStyle="1" w:styleId="Afiliao">
    <w:name w:val="Afiliação"/>
    <w:basedOn w:val="nome-autores-esquerda"/>
    <w:pPr>
      <w:spacing w:line="240" w:lineRule="auto"/>
    </w:pPr>
    <w:rPr>
      <w:i/>
      <w:iCs w:val="0"/>
      <w:color w:val="000000"/>
      <w:sz w:val="20"/>
      <w:szCs w:val="20"/>
    </w:rPr>
  </w:style>
  <w:style w:type="paragraph" w:customStyle="1" w:styleId="ttulos1">
    <w:name w:val="títulos1"/>
    <w:basedOn w:val="nome-autores-esquerda"/>
    <w:pPr>
      <w:spacing w:line="240" w:lineRule="auto"/>
      <w:jc w:val="both"/>
    </w:pPr>
    <w:rPr>
      <w:b/>
      <w:bCs/>
      <w:iCs w:val="0"/>
    </w:rPr>
  </w:style>
  <w:style w:type="paragraph" w:customStyle="1" w:styleId="subttulo1">
    <w:name w:val="subtítulo1"/>
    <w:basedOn w:val="ttulos1"/>
    <w:pPr>
      <w:jc w:val="left"/>
    </w:pPr>
    <w:rPr>
      <w:b w:val="0"/>
      <w:bCs w:val="0"/>
      <w:szCs w:val="20"/>
    </w:rPr>
  </w:style>
  <w:style w:type="paragraph" w:customStyle="1" w:styleId="resumoabstractresumen">
    <w:name w:val="resumo+abstract+resumen"/>
    <w:basedOn w:val="nome-autores-esquerda"/>
    <w:pPr>
      <w:spacing w:line="240" w:lineRule="auto"/>
      <w:jc w:val="both"/>
    </w:pPr>
    <w:rPr>
      <w:iCs w:val="0"/>
      <w:sz w:val="22"/>
      <w:szCs w:val="20"/>
    </w:rPr>
  </w:style>
  <w:style w:type="paragraph" w:customStyle="1" w:styleId="rodap-editorial">
    <w:name w:val="rodapé-editorial"/>
    <w:basedOn w:val="Footeruser"/>
    <w:pPr>
      <w:jc w:val="left"/>
    </w:pPr>
    <w:rPr>
      <w:color w:val="000000"/>
      <w:sz w:val="16"/>
      <w:szCs w:val="16"/>
    </w:rPr>
  </w:style>
  <w:style w:type="paragraph" w:customStyle="1" w:styleId="corpodotexto">
    <w:name w:val="corpo do texto"/>
    <w:basedOn w:val="nome-autores-esquerda"/>
    <w:pPr>
      <w:ind w:firstLine="709"/>
      <w:jc w:val="both"/>
    </w:pPr>
    <w:rPr>
      <w:iCs w:val="0"/>
      <w:color w:val="000000"/>
    </w:rPr>
  </w:style>
  <w:style w:type="paragraph" w:customStyle="1" w:styleId="Els-table-caption">
    <w:name w:val="Els-table-caption"/>
    <w:pPr>
      <w:keepLines/>
      <w:suppressAutoHyphens/>
      <w:spacing w:before="230" w:after="230" w:line="200" w:lineRule="atLeast"/>
      <w:ind w:leftChars="-1" w:left="-1" w:hangingChars="1" w:hanging="1"/>
      <w:textAlignment w:val="top"/>
      <w:outlineLvl w:val="0"/>
    </w:pPr>
    <w:rPr>
      <w:b/>
      <w:position w:val="-1"/>
      <w:sz w:val="16"/>
      <w:lang w:val="en-US"/>
    </w:rPr>
  </w:style>
  <w:style w:type="paragraph" w:customStyle="1" w:styleId="Els-table-text">
    <w:name w:val="Els-table-text"/>
    <w:pPr>
      <w:suppressAutoHyphens/>
      <w:spacing w:after="80" w:line="200" w:lineRule="atLeast"/>
      <w:ind w:leftChars="-1" w:left="-1" w:hangingChars="1" w:hanging="1"/>
      <w:textAlignment w:val="top"/>
      <w:outlineLvl w:val="0"/>
    </w:pPr>
    <w:rPr>
      <w:position w:val="-1"/>
      <w:sz w:val="14"/>
      <w:lang w:val="en-US"/>
    </w:rPr>
  </w:style>
  <w:style w:type="paragraph" w:customStyle="1" w:styleId="Els-table-col-head">
    <w:name w:val="Els-table-col-head"/>
    <w:basedOn w:val="Els-table-text"/>
    <w:rPr>
      <w:b/>
      <w:sz w:val="16"/>
    </w:rPr>
  </w:style>
  <w:style w:type="paragraph" w:customStyle="1" w:styleId="Table">
    <w:name w:val="Table"/>
    <w:basedOn w:val="corpodotexto"/>
    <w:pPr>
      <w:spacing w:before="120" w:after="120" w:line="240" w:lineRule="auto"/>
      <w:jc w:val="center"/>
    </w:pPr>
    <w:rPr>
      <w:sz w:val="20"/>
      <w:szCs w:val="20"/>
    </w:rPr>
  </w:style>
  <w:style w:type="paragraph" w:customStyle="1" w:styleId="citaodireta">
    <w:name w:val="citação direta"/>
    <w:basedOn w:val="corpodotexto"/>
    <w:pPr>
      <w:spacing w:line="240" w:lineRule="auto"/>
      <w:ind w:left="2268"/>
    </w:pPr>
    <w:rPr>
      <w:sz w:val="22"/>
    </w:rPr>
  </w:style>
  <w:style w:type="paragraph" w:customStyle="1" w:styleId="Referncias">
    <w:name w:val="Referências"/>
    <w:basedOn w:val="corpodotexto"/>
    <w:pPr>
      <w:spacing w:before="120" w:after="120" w:line="240" w:lineRule="auto"/>
      <w:ind w:firstLine="0"/>
      <w:jc w:val="left"/>
    </w:pPr>
  </w:style>
  <w:style w:type="paragraph" w:customStyle="1" w:styleId="Running-head">
    <w:name w:val="Running-head"/>
    <w:basedOn w:val="Cabealho"/>
    <w:pPr>
      <w:suppressAutoHyphens w:val="0"/>
      <w:spacing w:after="80" w:line="200" w:lineRule="atLeast"/>
      <w:jc w:val="center"/>
    </w:pPr>
    <w:rPr>
      <w:smallCaps/>
      <w:sz w:val="14"/>
      <w:szCs w:val="20"/>
      <w:lang w:val="en-US"/>
    </w:rPr>
  </w:style>
  <w:style w:type="paragraph" w:customStyle="1" w:styleId="cabealho-paginas-de-texto">
    <w:name w:val="cabeçalho-paginas-de-texto"/>
    <w:basedOn w:val="corpodotexto"/>
    <w:pPr>
      <w:spacing w:before="120" w:after="120" w:line="240" w:lineRule="auto"/>
      <w:ind w:firstLine="0"/>
      <w:jc w:val="center"/>
    </w:pPr>
    <w:rPr>
      <w:i/>
      <w:color w:val="808080"/>
      <w:sz w:val="18"/>
    </w:rPr>
  </w:style>
  <w:style w:type="paragraph" w:customStyle="1" w:styleId="LEGENDA-DEIMAGENS">
    <w:name w:val="LEGENDA-DE IMAGENS"/>
    <w:basedOn w:val="nome-autores-esquerda"/>
    <w:pPr>
      <w:spacing w:line="240" w:lineRule="auto"/>
      <w:jc w:val="center"/>
    </w:pPr>
    <w:rPr>
      <w:sz w:val="22"/>
      <w:lang w:val="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1">
    <w:name w:val="WW8Num1z1"/>
    <w:rPr>
      <w:rFonts w:ascii="Courier New" w:hAnsi="Courier New"/>
      <w:w w:val="100"/>
      <w:position w:val="-1"/>
      <w:effect w:val="none"/>
      <w:vertAlign w:val="baseline"/>
      <w:cs w:val="0"/>
      <w:em w:val="none"/>
    </w:rPr>
  </w:style>
  <w:style w:type="character" w:customStyle="1" w:styleId="WW8Num1z2">
    <w:name w:val="WW8Num1z2"/>
    <w:rPr>
      <w:rFonts w:ascii="Wingdings" w:hAnsi="Wingdings"/>
      <w:w w:val="100"/>
      <w:position w:val="-1"/>
      <w:effect w:val="none"/>
      <w:vertAlign w:val="baseline"/>
      <w:cs w:val="0"/>
      <w:em w:val="none"/>
    </w:rPr>
  </w:style>
  <w:style w:type="character" w:customStyle="1" w:styleId="FootnoteTextChar">
    <w:name w:val="Footnote Text Char"/>
    <w:rPr>
      <w:rFonts w:ascii="Times New Roman" w:hAnsi="Times New Roman"/>
      <w:w w:val="100"/>
      <w:position w:val="-1"/>
      <w:effect w:val="none"/>
      <w:vertAlign w:val="baseline"/>
      <w:cs w:val="0"/>
      <w:em w:val="none"/>
    </w:rPr>
  </w:style>
  <w:style w:type="character" w:customStyle="1" w:styleId="TitleChar">
    <w:name w:val="Title Char"/>
    <w:rPr>
      <w:rFonts w:ascii="Calibri" w:eastAsia="MS Gothic" w:hAnsi="Calibri"/>
      <w:color w:val="000000"/>
      <w:spacing w:val="4"/>
      <w:w w:val="100"/>
      <w:kern w:val="3"/>
      <w:position w:val="-1"/>
      <w:sz w:val="36"/>
      <w:szCs w:val="36"/>
      <w:effect w:val="none"/>
      <w:vertAlign w:val="baseline"/>
      <w:cs w:val="0"/>
      <w:em w:val="none"/>
    </w:rPr>
  </w:style>
  <w:style w:type="character" w:customStyle="1" w:styleId="BalloonTextChar">
    <w:name w:val="Balloon Text Char"/>
    <w:rPr>
      <w:rFonts w:ascii="Lucida Grande" w:hAnsi="Lucida Grande" w:cs="Lucida Grande"/>
      <w:w w:val="100"/>
      <w:kern w:val="3"/>
      <w:position w:val="-1"/>
      <w:sz w:val="18"/>
      <w:szCs w:val="18"/>
      <w:effect w:val="none"/>
      <w:vertAlign w:val="baseline"/>
      <w:cs w:val="0"/>
      <w:em w:val="none"/>
    </w:rPr>
  </w:style>
  <w:style w:type="character" w:customStyle="1" w:styleId="HeaderChar">
    <w:name w:val="Header Char"/>
    <w:rPr>
      <w:rFonts w:ascii="Calibri" w:hAnsi="Calibri"/>
      <w:w w:val="100"/>
      <w:kern w:val="3"/>
      <w:position w:val="-1"/>
      <w:sz w:val="24"/>
      <w:szCs w:val="24"/>
      <w:effect w:val="none"/>
      <w:vertAlign w:val="baseline"/>
      <w:cs w:val="0"/>
      <w:em w:val="none"/>
    </w:rPr>
  </w:style>
  <w:style w:type="character" w:customStyle="1" w:styleId="FooterChar">
    <w:name w:val="Footer Char"/>
    <w:rPr>
      <w:rFonts w:ascii="Calibri" w:hAnsi="Calibri"/>
      <w:w w:val="100"/>
      <w:kern w:val="3"/>
      <w:position w:val="-1"/>
      <w:sz w:val="24"/>
      <w:szCs w:val="24"/>
      <w:effect w:val="none"/>
      <w:vertAlign w:val="baseline"/>
      <w:cs w:val="0"/>
      <w:em w:val="none"/>
    </w:rPr>
  </w:style>
  <w:style w:type="character" w:customStyle="1" w:styleId="Heading2Char">
    <w:name w:val="Heading 2 Char"/>
    <w:rPr>
      <w:rFonts w:ascii="Calibri" w:eastAsia="MS Gothic" w:hAnsi="Calibri" w:cs="Times New Roman"/>
      <w:b/>
      <w:bCs/>
      <w:i/>
      <w:iCs/>
      <w:w w:val="100"/>
      <w:kern w:val="3"/>
      <w:position w:val="-1"/>
      <w:sz w:val="28"/>
      <w:szCs w:val="28"/>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customStyle="1" w:styleId="Heading3Char">
    <w:name w:val="Heading 3 Char"/>
    <w:rPr>
      <w:rFonts w:ascii="Calibri" w:eastAsia="MS Gothic" w:hAnsi="Calibri" w:cs="Times New Roman"/>
      <w:b/>
      <w:bCs/>
      <w:w w:val="100"/>
      <w:kern w:val="3"/>
      <w:position w:val="-1"/>
      <w:sz w:val="26"/>
      <w:szCs w:val="26"/>
      <w:effect w:val="none"/>
      <w:vertAlign w:val="baseline"/>
      <w:cs w:val="0"/>
      <w:em w:val="none"/>
    </w:rPr>
  </w:style>
  <w:style w:type="character" w:customStyle="1" w:styleId="FootnoteSymbol">
    <w:name w:val="Footnote Symbol"/>
    <w:rPr>
      <w:w w:val="100"/>
      <w:position w:val="0"/>
      <w:effect w:val="none"/>
      <w:vertAlign w:val="superscript"/>
      <w:cs w:val="0"/>
      <w:em w:val="none"/>
    </w:rPr>
  </w:style>
  <w:style w:type="character" w:customStyle="1" w:styleId="Internetlink">
    <w:name w:val="Internet link"/>
    <w:rPr>
      <w:color w:val="0000FF"/>
      <w:w w:val="100"/>
      <w:position w:val="-1"/>
      <w:u w:val="single"/>
      <w:effect w:val="none"/>
      <w:vertAlign w:val="baseline"/>
      <w:cs w:val="0"/>
      <w:em w:val="none"/>
    </w:rPr>
  </w:style>
  <w:style w:type="character" w:customStyle="1" w:styleId="Footnoteanchor">
    <w:name w:val="Footnote anchor"/>
    <w:rPr>
      <w:w w:val="100"/>
      <w:position w:val="0"/>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pPr>
      <w:suppressAutoHyphens w:val="0"/>
      <w:spacing w:before="100" w:after="100"/>
    </w:pPr>
  </w:style>
  <w:style w:type="character" w:styleId="Forte">
    <w:name w:val="Strong"/>
    <w:rPr>
      <w:b/>
      <w:bCs/>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styleId="Refdenotaderodap">
    <w:name w:val="footnote reference"/>
    <w:rPr>
      <w:w w:val="100"/>
      <w:position w:val="0"/>
      <w:effect w:val="none"/>
      <w:vertAlign w:val="superscript"/>
      <w:cs w:val="0"/>
      <w:em w:val="none"/>
    </w:rPr>
  </w:style>
  <w:style w:type="character" w:customStyle="1" w:styleId="CabealhoChar">
    <w:name w:val="Cabeçalho Char"/>
    <w:rPr>
      <w:w w:val="100"/>
      <w:position w:val="-1"/>
      <w:effect w:val="none"/>
      <w:vertAlign w:val="baseline"/>
      <w:cs w:val="0"/>
      <w:em w:val="none"/>
    </w:rPr>
  </w:style>
  <w:style w:type="character" w:customStyle="1" w:styleId="RodapChar">
    <w:name w:val="Rodapé Char"/>
    <w:uiPriority w:val="99"/>
    <w:rPr>
      <w:w w:val="100"/>
      <w:position w:val="-1"/>
      <w:effect w:val="none"/>
      <w:vertAlign w:val="baseline"/>
      <w:cs w:val="0"/>
      <w:em w:val="none"/>
    </w:rPr>
  </w:style>
  <w:style w:type="character" w:customStyle="1" w:styleId="BalloonTextChar1">
    <w:name w:val="Balloon Text Char1"/>
    <w:rPr>
      <w:rFonts w:ascii="Segoe UI" w:hAnsi="Segoe UI" w:cs="Segoe UI"/>
      <w:w w:val="100"/>
      <w:position w:val="-1"/>
      <w:sz w:val="18"/>
      <w:szCs w:val="18"/>
      <w:effect w:val="none"/>
      <w:vertAlign w:val="baseline"/>
      <w:cs w:val="0"/>
      <w:em w:val="none"/>
    </w:rPr>
  </w:style>
  <w:style w:type="numbering" w:customStyle="1" w:styleId="WW8Num1">
    <w:name w:val="WW8Num1"/>
    <w:basedOn w:val="Semlista"/>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0" w:type="dxa"/>
        <w:bottom w:w="0" w:type="dxa"/>
        <w:right w:w="0" w:type="dxa"/>
      </w:tblCellMar>
    </w:tblPr>
  </w:style>
  <w:style w:type="table" w:customStyle="1" w:styleId="a1">
    <w:basedOn w:val="TableNormal2"/>
    <w:tblPr>
      <w:tblStyleRowBandSize w:val="1"/>
      <w:tblStyleColBandSize w:val="1"/>
      <w:tblCellMar>
        <w:top w:w="0" w:type="dxa"/>
        <w:left w:w="0" w:type="dxa"/>
        <w:bottom w:w="0" w:type="dxa"/>
        <w:right w:w="0" w:type="dxa"/>
      </w:tblCellMar>
    </w:tblPr>
  </w:style>
  <w:style w:type="table" w:customStyle="1" w:styleId="a2">
    <w:basedOn w:val="TableNormal2"/>
    <w:tblPr>
      <w:tblStyleRowBandSize w:val="1"/>
      <w:tblStyleColBandSize w:val="1"/>
      <w:tblCellMar>
        <w:top w:w="0" w:type="dxa"/>
        <w:left w:w="0" w:type="dxa"/>
        <w:bottom w:w="0" w:type="dxa"/>
        <w:right w:w="0" w:type="dxa"/>
      </w:tblCellMar>
    </w:tblPr>
  </w:style>
  <w:style w:type="table" w:customStyle="1" w:styleId="a3">
    <w:basedOn w:val="TableNormal2"/>
    <w:tblPr>
      <w:tblStyleRowBandSize w:val="1"/>
      <w:tblStyleColBandSize w:val="1"/>
      <w:tblCellMar>
        <w:top w:w="0" w:type="dxa"/>
        <w:left w:w="0" w:type="dxa"/>
        <w:bottom w:w="0" w:type="dxa"/>
        <w:right w:w="0" w:type="dxa"/>
      </w:tblCellMar>
    </w:tblPr>
  </w:style>
  <w:style w:type="table" w:customStyle="1" w:styleId="a4">
    <w:basedOn w:val="TableNormal2"/>
    <w:tblPr>
      <w:tblStyleRowBandSize w:val="1"/>
      <w:tblStyleColBandSize w:val="1"/>
      <w:tblCellMar>
        <w:top w:w="0" w:type="dxa"/>
        <w:left w:w="0" w:type="dxa"/>
        <w:bottom w:w="0" w:type="dxa"/>
        <w:right w:w="0" w:type="dxa"/>
      </w:tblCellMar>
    </w:tblPr>
  </w:style>
  <w:style w:type="table" w:customStyle="1" w:styleId="a5">
    <w:basedOn w:val="TableNormal2"/>
    <w:tblPr>
      <w:tblStyleRowBandSize w:val="1"/>
      <w:tblStyleColBandSize w:val="1"/>
      <w:tblCellMar>
        <w:top w:w="0" w:type="dxa"/>
        <w:left w:w="0" w:type="dxa"/>
        <w:bottom w:w="0" w:type="dxa"/>
        <w:right w:w="0" w:type="dxa"/>
      </w:tblCellMar>
    </w:tblPr>
  </w:style>
  <w:style w:type="table" w:customStyle="1" w:styleId="a6">
    <w:basedOn w:val="TableNormal2"/>
    <w:tblPr>
      <w:tblStyleRowBandSize w:val="1"/>
      <w:tblStyleColBandSize w:val="1"/>
      <w:tblCellMar>
        <w:top w:w="0" w:type="dxa"/>
        <w:left w:w="0" w:type="dxa"/>
        <w:bottom w:w="0" w:type="dxa"/>
        <w:right w:w="0" w:type="dxa"/>
      </w:tblCellMar>
    </w:tblPr>
  </w:style>
  <w:style w:type="table" w:customStyle="1" w:styleId="a7">
    <w:basedOn w:val="TableNormal2"/>
    <w:tblPr>
      <w:tblStyleRowBandSize w:val="1"/>
      <w:tblStyleColBandSize w:val="1"/>
      <w:tblCellMar>
        <w:top w:w="0" w:type="dxa"/>
        <w:left w:w="0" w:type="dxa"/>
        <w:bottom w:w="0" w:type="dxa"/>
        <w:right w:w="0" w:type="dxa"/>
      </w:tblCellMar>
    </w:tblPr>
  </w:style>
  <w:style w:type="table" w:customStyle="1" w:styleId="a8">
    <w:basedOn w:val="TableNormal2"/>
    <w:tblPr>
      <w:tblStyleRowBandSize w:val="1"/>
      <w:tblStyleColBandSize w:val="1"/>
      <w:tblCellMar>
        <w:top w:w="0" w:type="dxa"/>
        <w:left w:w="0" w:type="dxa"/>
        <w:bottom w:w="0" w:type="dxa"/>
        <w:right w:w="0" w:type="dxa"/>
      </w:tblCellMar>
    </w:tblPr>
  </w:style>
  <w:style w:type="paragraph" w:styleId="Textodecomentrio">
    <w:name w:val="annotation text"/>
    <w:basedOn w:val="Normal"/>
    <w:rPr>
      <w:sz w:val="20"/>
      <w:szCs w:val="20"/>
    </w:rPr>
  </w:style>
  <w:style w:type="character" w:customStyle="1" w:styleId="TextodecomentrioChar">
    <w:name w:val="Texto de comentário Char"/>
    <w:rPr>
      <w:w w:val="100"/>
      <w:position w:val="-1"/>
      <w:sz w:val="20"/>
      <w:szCs w:val="20"/>
      <w:effect w:val="none"/>
      <w:vertAlign w:val="baseline"/>
      <w:cs w:val="0"/>
      <w:em w:val="none"/>
    </w:rPr>
  </w:style>
  <w:style w:type="character" w:styleId="Refdecomentrio">
    <w:name w:val="annotation reference"/>
    <w:rPr>
      <w:w w:val="100"/>
      <w:position w:val="-1"/>
      <w:sz w:val="16"/>
      <w:szCs w:val="16"/>
      <w:effect w:val="none"/>
      <w:vertAlign w:val="baseline"/>
      <w:cs w:val="0"/>
      <w:em w:val="none"/>
    </w:rPr>
  </w:style>
  <w:style w:type="paragraph" w:customStyle="1" w:styleId="informaesartigomodelo2">
    <w:name w:val="informações+artigo+modelo2"/>
    <w:basedOn w:val="ttulos1"/>
    <w:pPr>
      <w:autoSpaceDN w:val="0"/>
      <w:jc w:val="left"/>
      <w:textAlignment w:val="baseline"/>
    </w:pPr>
    <w:rPr>
      <w:rFonts w:ascii="Calibri" w:hAnsi="Calibri"/>
      <w:b w:val="0"/>
      <w:i/>
      <w:kern w:val="3"/>
      <w:sz w:val="20"/>
    </w:rPr>
  </w:style>
  <w:style w:type="paragraph" w:customStyle="1" w:styleId="tituloresumo">
    <w:name w:val="titulo+resumo"/>
    <w:basedOn w:val="ttulos1"/>
    <w:pPr>
      <w:autoSpaceDN w:val="0"/>
      <w:textAlignment w:val="baseline"/>
    </w:pPr>
    <w:rPr>
      <w:rFonts w:ascii="Calibri" w:hAnsi="Calibri"/>
      <w:b w:val="0"/>
      <w:bCs w:val="0"/>
      <w:smallCaps/>
      <w:kern w:val="3"/>
    </w:rPr>
  </w:style>
  <w:style w:type="paragraph" w:customStyle="1" w:styleId="textoresumo">
    <w:name w:val="texto+resumo"/>
    <w:basedOn w:val="resumoabstractresumen"/>
    <w:pPr>
      <w:autoSpaceDN w:val="0"/>
      <w:textAlignment w:val="baseline"/>
    </w:pPr>
    <w:rPr>
      <w:rFonts w:ascii="Calibri" w:hAnsi="Calibri"/>
      <w:kern w:val="3"/>
      <w:sz w:val="17"/>
    </w:rPr>
  </w:style>
  <w:style w:type="paragraph" w:styleId="Assuntodocomentrio">
    <w:name w:val="annotation subject"/>
    <w:basedOn w:val="Textodecomentrio"/>
    <w:next w:val="Textodecomentrio"/>
    <w:rPr>
      <w:b/>
      <w:bCs/>
    </w:rPr>
  </w:style>
  <w:style w:type="character" w:customStyle="1" w:styleId="AssuntodocomentrioChar">
    <w:name w:val="Assunto do comentário Char"/>
    <w:rPr>
      <w:b/>
      <w:bCs/>
      <w:w w:val="100"/>
      <w:position w:val="-1"/>
      <w:sz w:val="20"/>
      <w:szCs w:val="20"/>
      <w:effect w:val="none"/>
      <w:vertAlign w:val="baseline"/>
      <w:cs w:val="0"/>
      <w:em w:val="none"/>
    </w:rPr>
  </w:style>
  <w:style w:type="paragraph" w:styleId="Textodenotaderodap">
    <w:name w:val="footnote text"/>
    <w:basedOn w:val="Normal"/>
    <w:pPr>
      <w:keepNext/>
      <w:suppressAutoHyphens w:val="0"/>
    </w:pPr>
    <w:rPr>
      <w:rFonts w:ascii="Calibri" w:eastAsia="Calibri" w:hAnsi="Calibri"/>
      <w:sz w:val="20"/>
      <w:szCs w:val="20"/>
      <w:lang w:eastAsia="en-US"/>
    </w:rPr>
  </w:style>
  <w:style w:type="character" w:customStyle="1" w:styleId="TextodenotaderodapChar">
    <w:name w:val="Texto de nota de rodapé Char"/>
    <w:rPr>
      <w:rFonts w:ascii="Calibri" w:eastAsia="Calibri" w:hAnsi="Calibri"/>
      <w:w w:val="100"/>
      <w:position w:val="-1"/>
      <w:effect w:val="none"/>
      <w:vertAlign w:val="baseline"/>
      <w:cs w:val="0"/>
      <w:em w:val="none"/>
      <w:lang w:eastAsia="en-US"/>
    </w:r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table" w:customStyle="1" w:styleId="ad">
    <w:basedOn w:val="TableNormal0"/>
    <w:tblPr>
      <w:tblStyleRowBandSize w:val="1"/>
      <w:tblStyleColBandSize w:val="1"/>
      <w:tblCellMar>
        <w:top w:w="0" w:type="dxa"/>
        <w:left w:w="0" w:type="dxa"/>
        <w:bottom w:w="0" w:type="dxa"/>
        <w:right w:w="0" w:type="dxa"/>
      </w:tblCellMar>
    </w:tblPr>
  </w:style>
  <w:style w:type="paragraph" w:styleId="PargrafodaLista">
    <w:name w:val="List Paragraph"/>
    <w:basedOn w:val="Normal"/>
    <w:pPr>
      <w:ind w:left="720"/>
      <w:contextualSpacing/>
    </w:p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paragraph" w:styleId="Reviso">
    <w:name w:val="Revision"/>
    <w:pPr>
      <w:suppressAutoHyphens/>
      <w:ind w:leftChars="-1" w:left="-1" w:hangingChars="1" w:hanging="1"/>
      <w:textDirection w:val="btLr"/>
      <w:textAlignment w:val="top"/>
      <w:outlineLvl w:val="0"/>
    </w:pPr>
    <w:rPr>
      <w:position w:val="-1"/>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6Colorida1">
    <w:name w:val="Tabela de Grade 6 Colorida1"/>
    <w:basedOn w:val="Tabelanormal"/>
    <w:pPr>
      <w:suppressAutoHyphens/>
      <w:spacing w:line="1" w:lineRule="atLeast"/>
      <w:ind w:leftChars="-1" w:left="-1" w:hangingChars="1" w:hanging="1"/>
      <w:textDirection w:val="btLr"/>
      <w:textAlignment w:val="top"/>
      <w:outlineLvl w:val="0"/>
    </w:pPr>
    <w:rPr>
      <w:rFonts w:ascii="Calibri" w:eastAsia="Calibri" w:hAnsi="Calibri" w:cs="Calibri"/>
      <w:color w:val="000000"/>
      <w:position w:val="-1"/>
      <w:sz w:val="22"/>
      <w:szCs w:val="22"/>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0" w:type="dxa"/>
        <w:bottom w:w="0" w:type="dxa"/>
        <w:right w:w="0" w:type="dxa"/>
      </w:tblCellMar>
    </w:tblPr>
  </w:style>
  <w:style w:type="table" w:customStyle="1" w:styleId="af">
    <w:basedOn w:val="TableNormal0"/>
    <w:tblPr>
      <w:tblStyleRowBandSize w:val="1"/>
      <w:tblStyleColBandSize w:val="1"/>
      <w:tblCellMar>
        <w:top w:w="0" w:type="dxa"/>
        <w:left w:w="0" w:type="dxa"/>
        <w:bottom w:w="0" w:type="dxa"/>
        <w:right w:w="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rPr>
      <w:rFonts w:ascii="Calibri" w:eastAsia="Calibri" w:hAnsi="Calibri" w:cs="Calibri"/>
      <w:color w:val="000000"/>
      <w:sz w:val="22"/>
      <w:szCs w:val="22"/>
    </w:rPr>
    <w:tblPr>
      <w:tblStyleRowBandSize w:val="1"/>
      <w:tblStyleColBandSize w:val="1"/>
      <w:tblCellMar>
        <w:top w:w="85" w:type="dxa"/>
        <w:left w:w="28" w:type="dxa"/>
        <w:bottom w:w="85" w:type="dxa"/>
        <w:right w:w="28" w:type="dxa"/>
      </w:tblCellMar>
    </w:tblPr>
  </w:style>
  <w:style w:type="table" w:customStyle="1" w:styleId="af2">
    <w:basedOn w:val="TableNormal0"/>
    <w:tblPr>
      <w:tblStyleRowBandSize w:val="1"/>
      <w:tblStyleColBandSize w:val="1"/>
      <w:tblCellMar>
        <w:top w:w="0" w:type="dxa"/>
        <w:left w:w="0" w:type="dxa"/>
        <w:bottom w:w="0" w:type="dxa"/>
        <w:right w:w="0" w:type="dxa"/>
      </w:tblCellMar>
    </w:tblPr>
  </w:style>
  <w:style w:type="table" w:customStyle="1" w:styleId="af3">
    <w:basedOn w:val="TableNormal0"/>
    <w:tblPr>
      <w:tblStyleRowBandSize w:val="1"/>
      <w:tblStyleColBandSize w:val="1"/>
      <w:tblCellMar>
        <w:top w:w="0" w:type="dxa"/>
        <w:left w:w="0" w:type="dxa"/>
        <w:bottom w:w="0" w:type="dxa"/>
        <w:right w:w="0" w:type="dxa"/>
      </w:tblCellMar>
    </w:tblPr>
  </w:style>
  <w:style w:type="table" w:customStyle="1" w:styleId="af4">
    <w:basedOn w:val="TableNormal0"/>
    <w:tblPr>
      <w:tblStyleRowBandSize w:val="1"/>
      <w:tblStyleColBandSize w:val="1"/>
      <w:tblCellMar>
        <w:top w:w="0" w:type="dxa"/>
        <w:left w:w="0" w:type="dxa"/>
        <w:bottom w:w="0" w:type="dxa"/>
        <w:right w:w="0" w:type="dxa"/>
      </w:tblCellMar>
    </w:tblPr>
  </w:style>
  <w:style w:type="character" w:styleId="HiperlinkVisitado">
    <w:name w:val="FollowedHyperlink"/>
    <w:qFormat/>
    <w:rPr>
      <w:color w:val="800080"/>
      <w:w w:val="100"/>
      <w:position w:val="-1"/>
      <w:u w:val="single"/>
      <w:effect w:val="none"/>
      <w:vertAlign w:val="baseline"/>
      <w:cs w:val="0"/>
      <w:em w:val="none"/>
    </w:rPr>
  </w:style>
  <w:style w:type="paragraph" w:customStyle="1" w:styleId="Normal0">
    <w:name w:val="Normal0"/>
    <w:basedOn w:val="Normal"/>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table" w:customStyle="1" w:styleId="af5">
    <w:basedOn w:val="TableNormal0"/>
    <w:tblPr>
      <w:tblStyleRowBandSize w:val="1"/>
      <w:tblStyleColBandSize w:val="1"/>
      <w:tblCellMar>
        <w:top w:w="0" w:type="dxa"/>
        <w:left w:w="0" w:type="dxa"/>
        <w:bottom w:w="0" w:type="dxa"/>
        <w:right w:w="0"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0" w:type="dxa"/>
        <w:bottom w:w="0" w:type="dxa"/>
        <w:right w:w="0" w:type="dxa"/>
      </w:tblCellMar>
    </w:tblPr>
  </w:style>
  <w:style w:type="table" w:customStyle="1" w:styleId="af8">
    <w:basedOn w:val="TableNormal0"/>
    <w:tblPr>
      <w:tblStyleRowBandSize w:val="1"/>
      <w:tblStyleColBandSize w:val="1"/>
      <w:tblCellMar>
        <w:top w:w="0" w:type="dxa"/>
        <w:left w:w="0" w:type="dxa"/>
        <w:bottom w:w="0" w:type="dxa"/>
        <w:right w:w="0" w:type="dxa"/>
      </w:tblCellMar>
    </w:tblPr>
  </w:style>
  <w:style w:type="table" w:customStyle="1" w:styleId="af9">
    <w:basedOn w:val="TableNormal0"/>
    <w:tblPr>
      <w:tblStyleRowBandSize w:val="1"/>
      <w:tblStyleColBandSize w:val="1"/>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D15E47"/>
    <w:rPr>
      <w:color w:val="605E5C"/>
      <w:shd w:val="clear" w:color="auto" w:fill="E1DFDD"/>
    </w:rPr>
  </w:style>
  <w:style w:type="character" w:customStyle="1" w:styleId="MenoPendente3">
    <w:name w:val="Menção Pendente3"/>
    <w:basedOn w:val="Fontepargpadro"/>
    <w:uiPriority w:val="99"/>
    <w:semiHidden/>
    <w:unhideWhenUsed/>
    <w:rsid w:val="00225433"/>
    <w:rPr>
      <w:color w:val="605E5C"/>
      <w:shd w:val="clear" w:color="auto" w:fill="E1DFDD"/>
    </w:rPr>
  </w:style>
  <w:style w:type="character" w:customStyle="1" w:styleId="MenoPendente4">
    <w:name w:val="Menção Pendente4"/>
    <w:basedOn w:val="Fontepargpadro"/>
    <w:uiPriority w:val="99"/>
    <w:semiHidden/>
    <w:unhideWhenUsed/>
    <w:rsid w:val="00EB0D84"/>
    <w:rPr>
      <w:color w:val="605E5C"/>
      <w:shd w:val="clear" w:color="auto" w:fill="E1DFDD"/>
    </w:rPr>
  </w:style>
  <w:style w:type="character" w:customStyle="1" w:styleId="UnresolvedMention">
    <w:name w:val="Unresolved Mention"/>
    <w:basedOn w:val="Fontepargpadro"/>
    <w:uiPriority w:val="99"/>
    <w:semiHidden/>
    <w:unhideWhenUsed/>
    <w:rsid w:val="00024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ds.gov.br/pt-br/pub/2013/protocolo-clinico-e-diretrizes-terapeuticas-para-manejo-da-infeccao-pelo-hiv-em-adultos" TargetMode="External"/><Relationship Id="rId18" Type="http://schemas.openxmlformats.org/officeDocument/2006/relationships/hyperlink" Target="https://dx.doi.org/10.1007%2Fs11904-014-0237-5" TargetMode="External"/><Relationship Id="rId26" Type="http://schemas.openxmlformats.org/officeDocument/2006/relationships/hyperlink" Target="https://doi.org/10.1590/S0034-89102006005000043" TargetMode="External"/><Relationship Id="rId39" Type="http://schemas.openxmlformats.org/officeDocument/2006/relationships/footer" Target="footer1.xml"/><Relationship Id="rId21" Type="http://schemas.openxmlformats.org/officeDocument/2006/relationships/hyperlink" Target="https://doi.org/10.1002/jia2.25332" TargetMode="External"/><Relationship Id="rId34" Type="http://schemas.openxmlformats.org/officeDocument/2006/relationships/hyperlink" Target="http://dx.doi.org/10.25215/0904.210"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90/1413-81232018247.22312017" TargetMode="External"/><Relationship Id="rId20" Type="http://schemas.openxmlformats.org/officeDocument/2006/relationships/hyperlink" Target="https://doi.org/10.1186/s12955-020-01571-1" TargetMode="External"/><Relationship Id="rId29" Type="http://schemas.openxmlformats.org/officeDocument/2006/relationships/hyperlink" Target="http://www.seer.ufu.br/index.php/perspectivasempsicologia/article/view/4655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pdf/rsp/v29n5/04.pdf" TargetMode="External"/><Relationship Id="rId24" Type="http://schemas.openxmlformats.org/officeDocument/2006/relationships/hyperlink" Target="https://dx.doi.org/10.1590/1983-1447.2020.20190290" TargetMode="External"/><Relationship Id="rId32" Type="http://schemas.openxmlformats.org/officeDocument/2006/relationships/hyperlink" Target="https://doi.org/10.1177/215824401987720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ids.gov.br/pt-br/pub/2020/boletim-epidemiologico-hivaids-2020" TargetMode="External"/><Relationship Id="rId23" Type="http://schemas.openxmlformats.org/officeDocument/2006/relationships/hyperlink" Target="https://doi.org/10.1590/0103-1104201912114" TargetMode="External"/><Relationship Id="rId28" Type="http://schemas.openxmlformats.org/officeDocument/2006/relationships/hyperlink" Target="https://doi.org/10.4172/jaa.1000085" TargetMode="External"/><Relationship Id="rId36" Type="http://schemas.openxmlformats.org/officeDocument/2006/relationships/hyperlink" Target="https://doi.org/10.1590/1516-3180.2013.7450010" TargetMode="External"/><Relationship Id="rId10" Type="http://schemas.openxmlformats.org/officeDocument/2006/relationships/hyperlink" Target="http://dx.doi.org/10.5123/S1679-49742007000400005" TargetMode="External"/><Relationship Id="rId19" Type="http://schemas.openxmlformats.org/officeDocument/2006/relationships/hyperlink" Target="https://doi.org/10.1007/s00520-010-0932-8" TargetMode="External"/><Relationship Id="rId31" Type="http://schemas.openxmlformats.org/officeDocument/2006/relationships/hyperlink" Target="https://doi.org/10.1590/0102.3772e36nspe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dl.handle.net/10400.26/25741" TargetMode="External"/><Relationship Id="rId14" Type="http://schemas.openxmlformats.org/officeDocument/2006/relationships/hyperlink" Target="https://www.gov.br/aids/pt-br/centrais-de-conteudo/notas-informativas/2019/nota_informativa_5_2019_diahv_svs_ms-informa_sobre_o_conceito_do_termo_indetectavel.pdf" TargetMode="External"/><Relationship Id="rId22" Type="http://schemas.openxmlformats.org/officeDocument/2006/relationships/hyperlink" Target="http://dx.doi.org/10.9788/TP2016.2-12" TargetMode="External"/><Relationship Id="rId27" Type="http://schemas.openxmlformats.org/officeDocument/2006/relationships/hyperlink" Target="https://doi.org/10.1007/s40271-013-0009-0" TargetMode="External"/><Relationship Id="rId30" Type="http://schemas.openxmlformats.org/officeDocument/2006/relationships/hyperlink" Target="https://doi.org/10.1590/S0102-311X2007001000006" TargetMode="External"/><Relationship Id="rId35" Type="http://schemas.openxmlformats.org/officeDocument/2006/relationships/hyperlink" Target="https://doi.org/10.15309/23psd240208" TargetMode="External"/><Relationship Id="rId43" Type="http://schemas.openxmlformats.org/officeDocument/2006/relationships/fontTable" Target="fontTable.xml"/><Relationship Id="rId8" Type="http://schemas.openxmlformats.org/officeDocument/2006/relationships/hyperlink" Target="mailto:rosadacostaaline@gmail.com" TargetMode="External"/><Relationship Id="rId3" Type="http://schemas.openxmlformats.org/officeDocument/2006/relationships/styles" Target="styles.xml"/><Relationship Id="rId12" Type="http://schemas.openxmlformats.org/officeDocument/2006/relationships/hyperlink" Target="http://www.aids.gov.br/pt-br/pub/2008/manual-de-adesao-ao-tratamento-para-pessoas-vivendo-com-hiv-e-aids-2008" TargetMode="External"/><Relationship Id="rId17" Type="http://schemas.openxmlformats.org/officeDocument/2006/relationships/hyperlink" Target="http://dx.doi.org/10.1002/jia2.25066" TargetMode="External"/><Relationship Id="rId25" Type="http://schemas.openxmlformats.org/officeDocument/2006/relationships/hyperlink" Target="https://doi.org/10.17765/1983-1870.2018v11n2p307-314%20" TargetMode="External"/><Relationship Id="rId33" Type="http://schemas.openxmlformats.org/officeDocument/2006/relationships/hyperlink" Target="https://doi.org/10.4025/actascihealthsci.v44i1.56764"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eliane.seidl@gmail.com" TargetMode="External"/><Relationship Id="rId2" Type="http://schemas.openxmlformats.org/officeDocument/2006/relationships/hyperlink" Target="https://orcid.org/0000-0002-2901-0777" TargetMode="External"/><Relationship Id="rId1" Type="http://schemas.openxmlformats.org/officeDocument/2006/relationships/hyperlink" Target="mailto:rosadacostaaline@gmail.com" TargetMode="External"/><Relationship Id="rId4" Type="http://schemas.openxmlformats.org/officeDocument/2006/relationships/hyperlink" Target="https://orcid.org/0000-0002-1942-5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5D73C-497A-400A-912A-6432873A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7970</Words>
  <Characters>43039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50908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2026-05-15T12:38:00Z</dcterms:created>
  <dcterms:modified xsi:type="dcterms:W3CDTF">2026-05-15T13:06:00Z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04857144-afb7-428f-8d57-48a7f6027012</vt:lpwstr>
  </property>
</Properties>
</file>