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F6" w:rsidRDefault="00AD42F6" w:rsidP="00054B17">
      <w:pPr>
        <w:spacing w:line="480" w:lineRule="auto"/>
        <w:jc w:val="center"/>
        <w:rPr>
          <w:shd w:val="clear" w:color="auto" w:fill="FFFFFF"/>
        </w:rPr>
      </w:pPr>
    </w:p>
    <w:p w:rsidR="00054B17" w:rsidRPr="003E2C1B" w:rsidRDefault="00F177B8" w:rsidP="00054B17">
      <w:pPr>
        <w:spacing w:line="480" w:lineRule="auto"/>
        <w:jc w:val="center"/>
        <w:rPr>
          <w:shd w:val="clear" w:color="auto" w:fill="FFFFFF"/>
        </w:rPr>
      </w:pPr>
      <w:r w:rsidRPr="000D7279">
        <w:rPr>
          <w:noProof/>
        </w:rPr>
        <mc:AlternateContent>
          <mc:Choice Requires="wps">
            <w:drawing>
              <wp:anchor distT="0" distB="0" distL="114300" distR="114300" simplePos="0" relativeHeight="251658240" behindDoc="0" locked="0" layoutInCell="1" allowOverlap="1">
                <wp:simplePos x="0" y="0"/>
                <wp:positionH relativeFrom="column">
                  <wp:posOffset>5168265</wp:posOffset>
                </wp:positionH>
                <wp:positionV relativeFrom="paragraph">
                  <wp:posOffset>-708660</wp:posOffset>
                </wp:positionV>
                <wp:extent cx="447675" cy="3429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429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C72524" id="Oval 2" o:spid="_x0000_s1026" style="position:absolute;margin-left:406.95pt;margin-top:-55.8pt;width:3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" stroked="f"/>
            </w:pict>
          </mc:Fallback>
        </mc:AlternateContent>
      </w:r>
      <w:r w:rsidR="00054B17" w:rsidRPr="000D7279">
        <w:rPr>
          <w:shd w:val="clear" w:color="auto" w:fill="FFFFFF"/>
        </w:rPr>
        <w:t>Q</w:t>
      </w:r>
      <w:r w:rsidR="004F654E" w:rsidRPr="000D7279">
        <w:rPr>
          <w:shd w:val="clear" w:color="auto" w:fill="FFFFFF"/>
        </w:rPr>
        <w:t>ualidade de vida de mulheres sobreviventes ao câncer do colo do útero</w:t>
      </w:r>
    </w:p>
    <w:p w:rsidR="00AD42F6" w:rsidRPr="00AD42F6" w:rsidRDefault="00AD42F6" w:rsidP="00770BA8">
      <w:pPr>
        <w:spacing w:line="480" w:lineRule="auto"/>
        <w:ind w:right="23"/>
      </w:pPr>
    </w:p>
    <w:p w:rsidR="00770BA8" w:rsidRPr="003E2C1B" w:rsidRDefault="00770BA8" w:rsidP="00770BA8">
      <w:pPr>
        <w:spacing w:line="480" w:lineRule="auto"/>
        <w:ind w:right="23"/>
      </w:pPr>
      <w:r w:rsidRPr="003E2C1B">
        <w:t>RESUMO</w:t>
      </w:r>
    </w:p>
    <w:p w:rsidR="00770BA8" w:rsidRPr="00EC7AC1" w:rsidRDefault="000D7279" w:rsidP="000D7279">
      <w:pPr>
        <w:spacing w:line="480" w:lineRule="auto"/>
        <w:ind w:right="23"/>
        <w:jc w:val="both"/>
        <w:rPr>
          <w:shd w:val="clear" w:color="auto" w:fill="FFFFFF"/>
        </w:rPr>
      </w:pPr>
      <w:r>
        <w:rPr>
          <w:shd w:val="clear" w:color="auto" w:fill="FFFFFF"/>
        </w:rPr>
        <w:t>O estudo tem por objetivo c</w:t>
      </w:r>
      <w:r w:rsidR="00770BA8">
        <w:rPr>
          <w:shd w:val="clear" w:color="auto" w:fill="FFFFFF"/>
        </w:rPr>
        <w:t>omparar a qualidade de vida</w:t>
      </w:r>
      <w:r w:rsidR="00770BA8" w:rsidRPr="00EC7AC1">
        <w:rPr>
          <w:shd w:val="clear" w:color="auto" w:fill="FFFFFF"/>
        </w:rPr>
        <w:t xml:space="preserve"> de sobreviventes ao câncer de colo uterino</w:t>
      </w:r>
      <w:r w:rsidR="00770BA8">
        <w:rPr>
          <w:shd w:val="clear" w:color="auto" w:fill="FFFFFF"/>
        </w:rPr>
        <w:t xml:space="preserve"> com um grupo controle.</w:t>
      </w:r>
      <w:r>
        <w:rPr>
          <w:shd w:val="clear" w:color="auto" w:fill="FFFFFF"/>
        </w:rPr>
        <w:t xml:space="preserve"> </w:t>
      </w:r>
      <w:r w:rsidR="00770BA8" w:rsidRPr="00EC7AC1">
        <w:rPr>
          <w:shd w:val="clear" w:color="auto" w:fill="FFFFFF"/>
        </w:rPr>
        <w:t>O grupo câncer foi composto por mulheres com término do tratamento há</w:t>
      </w:r>
      <w:r w:rsidR="00770BA8">
        <w:rPr>
          <w:shd w:val="clear" w:color="auto" w:fill="FFFFFF"/>
        </w:rPr>
        <w:t>,</w:t>
      </w:r>
      <w:r w:rsidR="00770BA8" w:rsidRPr="00EC7AC1">
        <w:rPr>
          <w:shd w:val="clear" w:color="auto" w:fill="FFFFFF"/>
        </w:rPr>
        <w:t xml:space="preserve"> no mínimo</w:t>
      </w:r>
      <w:r w:rsidR="00770BA8">
        <w:rPr>
          <w:shd w:val="clear" w:color="auto" w:fill="FFFFFF"/>
        </w:rPr>
        <w:t>,</w:t>
      </w:r>
      <w:r w:rsidR="004924E4">
        <w:rPr>
          <w:shd w:val="clear" w:color="auto" w:fill="FFFFFF"/>
        </w:rPr>
        <w:t xml:space="preserve"> três meses da data de</w:t>
      </w:r>
      <w:r w:rsidR="00770BA8" w:rsidRPr="00EC7AC1">
        <w:rPr>
          <w:shd w:val="clear" w:color="auto" w:fill="FFFFFF"/>
        </w:rPr>
        <w:t xml:space="preserve"> coleta dos dados (n= 37). O grupo controle, de base populacional, foi composto por </w:t>
      </w:r>
      <w:r w:rsidR="00770BA8" w:rsidRPr="00EC7AC1">
        <w:t xml:space="preserve">mulheres sem história de câncer </w:t>
      </w:r>
      <w:r w:rsidR="00770BA8" w:rsidRPr="00EC7AC1">
        <w:rPr>
          <w:shd w:val="clear" w:color="auto" w:fill="FFFFFF"/>
        </w:rPr>
        <w:t>(n= 37)</w:t>
      </w:r>
      <w:r w:rsidR="00770BA8" w:rsidRPr="00EC7AC1">
        <w:t>.</w:t>
      </w:r>
      <w:r w:rsidR="00FB6668">
        <w:t xml:space="preserve"> </w:t>
      </w:r>
      <w:r w:rsidR="00770BA8" w:rsidRPr="00EC7AC1">
        <w:t>A</w:t>
      </w:r>
      <w:r w:rsidR="00770BA8">
        <w:rPr>
          <w:shd w:val="clear" w:color="auto" w:fill="FFFFFF"/>
        </w:rPr>
        <w:t xml:space="preserve"> qualidade de vida</w:t>
      </w:r>
      <w:r w:rsidR="00770BA8" w:rsidRPr="00EC7AC1">
        <w:rPr>
          <w:shd w:val="clear" w:color="auto" w:fill="FFFFFF"/>
        </w:rPr>
        <w:t xml:space="preserve"> foi avaliada através do </w:t>
      </w:r>
      <w:r w:rsidR="004924E4">
        <w:rPr>
          <w:shd w:val="clear" w:color="auto" w:fill="FFFFFF"/>
        </w:rPr>
        <w:t>Instrumento abreviado de avaliação de qualidade de vida da Organização Mundial de Saúde (</w:t>
      </w:r>
      <w:r w:rsidR="004924E4" w:rsidRPr="00EC7AC1">
        <w:t>WHOQOL-</w:t>
      </w:r>
      <w:proofErr w:type="spellStart"/>
      <w:r w:rsidR="004924E4" w:rsidRPr="00EC7AC1">
        <w:t>bref</w:t>
      </w:r>
      <w:proofErr w:type="spellEnd"/>
      <w:r w:rsidR="004924E4">
        <w:t>).</w:t>
      </w:r>
      <w:r>
        <w:rPr>
          <w:shd w:val="clear" w:color="auto" w:fill="FFFFFF"/>
        </w:rPr>
        <w:t xml:space="preserve"> </w:t>
      </w:r>
      <w:r w:rsidR="00770BA8" w:rsidRPr="00EC7AC1">
        <w:t>Em comparação ao controle, o</w:t>
      </w:r>
      <w:r w:rsidR="00FB6668">
        <w:t xml:space="preserve"> </w:t>
      </w:r>
      <w:r w:rsidR="00770BA8" w:rsidRPr="00EC7AC1">
        <w:t>grupo câncer apresentou maior percentual de mulhe</w:t>
      </w:r>
      <w:r w:rsidR="004924E4">
        <w:t xml:space="preserve">res que viviam sem companheiro, </w:t>
      </w:r>
      <w:r w:rsidR="00770BA8" w:rsidRPr="00EC7AC1">
        <w:t>que consideravam o relacionamento com o companheiro como ruim/regular e que apresentavam disfunções urinárias, intestinais e sexuais. Além disso, o grupo câncer apresentou piores escores nos domínios “Físico” e “Relações Sociais” do WHOQOL-</w:t>
      </w:r>
      <w:proofErr w:type="spellStart"/>
      <w:r w:rsidR="00770BA8" w:rsidRPr="00EC7AC1">
        <w:t>bref</w:t>
      </w:r>
      <w:proofErr w:type="spellEnd"/>
      <w:r w:rsidR="00770BA8" w:rsidRPr="00EC7AC1">
        <w:t xml:space="preserve">. Foram fatores independentemente associados ao domínio “Físico”: linfedema de membros inferiores e retenção urinária; e ao domínio “Relações Sociais”: apoio social de amigos e estenose/encurtamento vaginal. </w:t>
      </w:r>
      <w:r w:rsidR="00770BA8" w:rsidRPr="00EC7AC1">
        <w:rPr>
          <w:shd w:val="clear" w:color="auto" w:fill="FFFFFF"/>
        </w:rPr>
        <w:t xml:space="preserve">Os resultados indicam impacto negativo da doença e de seu tratamento sobre a qualidade de vida das sobreviventes. </w:t>
      </w:r>
      <w:r w:rsidR="00770BA8">
        <w:rPr>
          <w:shd w:val="clear" w:color="auto" w:fill="FFFFFF"/>
        </w:rPr>
        <w:t>Deve-se investigar a qualidade de vida</w:t>
      </w:r>
      <w:r w:rsidR="00770BA8" w:rsidRPr="00EC7AC1">
        <w:rPr>
          <w:shd w:val="clear" w:color="auto" w:fill="FFFFFF"/>
        </w:rPr>
        <w:t xml:space="preserve"> e os fatores que a influenciam</w:t>
      </w:r>
      <w:r w:rsidR="00770BA8">
        <w:rPr>
          <w:shd w:val="clear" w:color="auto" w:fill="FFFFFF"/>
        </w:rPr>
        <w:t>,</w:t>
      </w:r>
      <w:r w:rsidR="00770BA8" w:rsidRPr="00EC7AC1">
        <w:rPr>
          <w:shd w:val="clear" w:color="auto" w:fill="FFFFFF"/>
        </w:rPr>
        <w:t xml:space="preserve"> visando um atendimento mais integral, direcionado às necessidades das pacientes por meio de equipe multiprofissional.  </w:t>
      </w:r>
    </w:p>
    <w:p w:rsidR="00770BA8" w:rsidRPr="00D8668E" w:rsidRDefault="00770BA8" w:rsidP="00770BA8">
      <w:pPr>
        <w:suppressAutoHyphens/>
        <w:spacing w:line="480" w:lineRule="auto"/>
        <w:jc w:val="both"/>
      </w:pPr>
      <w:r w:rsidRPr="003E2C1B">
        <w:rPr>
          <w:shd w:val="clear" w:color="auto" w:fill="FFFFFF"/>
        </w:rPr>
        <w:t>Palavras-chave</w:t>
      </w:r>
      <w:r w:rsidRPr="00EC7AC1">
        <w:rPr>
          <w:shd w:val="clear" w:color="auto" w:fill="FFFFFF"/>
        </w:rPr>
        <w:t xml:space="preserve">: </w:t>
      </w:r>
      <w:r w:rsidR="009136A1">
        <w:t xml:space="preserve">Neoplasias do colo do útero. </w:t>
      </w:r>
      <w:r w:rsidR="009136A1" w:rsidRPr="00D8668E">
        <w:t>Sobreviventes.</w:t>
      </w:r>
      <w:r w:rsidRPr="00D8668E">
        <w:t xml:space="preserve"> Qualidade de vida.</w:t>
      </w:r>
    </w:p>
    <w:p w:rsidR="000D7279" w:rsidRPr="00D8668E" w:rsidRDefault="000D7279" w:rsidP="00770BA8">
      <w:pPr>
        <w:suppressAutoHyphens/>
        <w:spacing w:line="480" w:lineRule="auto"/>
        <w:jc w:val="both"/>
        <w:rPr>
          <w:iCs/>
          <w:highlight w:val="yellow"/>
          <w:shd w:val="clear" w:color="auto" w:fill="FFFFFF"/>
        </w:rPr>
      </w:pPr>
    </w:p>
    <w:p w:rsidR="0067100F" w:rsidRDefault="0067100F" w:rsidP="00193B24">
      <w:pPr>
        <w:spacing w:line="480" w:lineRule="auto"/>
        <w:rPr>
          <w:iCs/>
          <w:highlight w:val="yellow"/>
          <w:shd w:val="clear" w:color="auto" w:fill="FFFFFF"/>
        </w:rPr>
      </w:pPr>
    </w:p>
    <w:p w:rsidR="00E43C61" w:rsidRPr="00EC7AC1" w:rsidRDefault="000D7279" w:rsidP="00193B24">
      <w:pPr>
        <w:spacing w:line="480" w:lineRule="auto"/>
      </w:pPr>
      <w:r w:rsidRPr="000D7279">
        <w:lastRenderedPageBreak/>
        <w:t>1</w:t>
      </w:r>
      <w:r>
        <w:t xml:space="preserve"> </w:t>
      </w:r>
      <w:r w:rsidR="00E43C61" w:rsidRPr="000D7279">
        <w:rPr>
          <w:b/>
        </w:rPr>
        <w:t>INTRODUÇÃO</w:t>
      </w:r>
    </w:p>
    <w:p w:rsidR="00E43C61" w:rsidRPr="00EC7AC1" w:rsidRDefault="00E43C61" w:rsidP="003D30E0">
      <w:pPr>
        <w:autoSpaceDE w:val="0"/>
        <w:autoSpaceDN w:val="0"/>
        <w:adjustRightInd w:val="0"/>
        <w:spacing w:line="480" w:lineRule="auto"/>
        <w:ind w:firstLine="600"/>
        <w:jc w:val="both"/>
      </w:pPr>
      <w:r w:rsidRPr="00EC7AC1">
        <w:t xml:space="preserve">O número de sobreviventes a longo prazo do </w:t>
      </w:r>
      <w:r w:rsidR="0054777F" w:rsidRPr="00EC7AC1">
        <w:t>câncer do colo do útero (</w:t>
      </w:r>
      <w:r w:rsidRPr="00EC7AC1">
        <w:t>CCU</w:t>
      </w:r>
      <w:r w:rsidR="0054777F" w:rsidRPr="00EC7AC1">
        <w:t>)</w:t>
      </w:r>
      <w:r w:rsidRPr="00EC7AC1">
        <w:t xml:space="preserve"> está crescendo, devido à alta curabilidade quando detectado precocemente</w:t>
      </w:r>
      <w:r w:rsidR="0005371D">
        <w:t xml:space="preserve"> (</w:t>
      </w:r>
      <w:r w:rsidR="0005371D" w:rsidRPr="0083190B">
        <w:t>WENZEL</w:t>
      </w:r>
      <w:r w:rsidR="0083190B">
        <w:t xml:space="preserve"> et al.</w:t>
      </w:r>
      <w:r w:rsidR="00A738EB" w:rsidRPr="0083190B">
        <w:t>,</w:t>
      </w:r>
      <w:r w:rsidR="0005371D" w:rsidRPr="0083190B">
        <w:t xml:space="preserve"> 2005</w:t>
      </w:r>
      <w:r w:rsidR="0005371D">
        <w:t>)</w:t>
      </w:r>
      <w:r w:rsidRPr="00EC7AC1">
        <w:t xml:space="preserve"> e aos avanços científicos e terapêuticos ao longo das últimas décadas</w:t>
      </w:r>
      <w:r w:rsidR="0005371D">
        <w:t xml:space="preserve"> (</w:t>
      </w:r>
      <w:r w:rsidR="0005371D" w:rsidRPr="0083190B">
        <w:t>BARKER</w:t>
      </w:r>
      <w:r w:rsidR="0083190B">
        <w:t xml:space="preserve"> et al.</w:t>
      </w:r>
      <w:r w:rsidR="00A738EB" w:rsidRPr="0083190B">
        <w:t>,</w:t>
      </w:r>
      <w:r w:rsidR="0083190B">
        <w:t xml:space="preserve"> </w:t>
      </w:r>
      <w:r w:rsidR="0005371D" w:rsidRPr="0083190B">
        <w:t>2009</w:t>
      </w:r>
      <w:r w:rsidR="0005371D">
        <w:t>)</w:t>
      </w:r>
      <w:r w:rsidRPr="00EC7AC1">
        <w:t>. O tratamento desta neoplasia é guiado pelo estadiamento da doença e pode ser constituído por cirurgia, radioterapia, quimioterapia ou pela combinação dessas modalidades</w:t>
      </w:r>
      <w:r w:rsidR="00286319">
        <w:t xml:space="preserve"> (MINISTÉRIO DA SAÚDE, 2003)</w:t>
      </w:r>
      <w:r w:rsidRPr="00EC7AC1">
        <w:t>. Contudo, as intervenções terapêuticas também estão associadas à ocorrência de efeitos adversos tardios, destacando-se: disfunções sexuais, intestinais ou urinárias; menopausa precoce e linfedema em membro</w:t>
      </w:r>
      <w:r w:rsidR="00960B40">
        <w:t>s</w:t>
      </w:r>
      <w:r w:rsidRPr="00EC7AC1">
        <w:t xml:space="preserve"> inferior</w:t>
      </w:r>
      <w:r w:rsidR="00960B40">
        <w:t>es</w:t>
      </w:r>
      <w:r w:rsidR="00C71E66">
        <w:t xml:space="preserve"> (</w:t>
      </w:r>
      <w:r w:rsidR="00C71E66" w:rsidRPr="0083190B">
        <w:t>BERNARDO</w:t>
      </w:r>
      <w:r w:rsidR="0083190B">
        <w:t xml:space="preserve"> et al.</w:t>
      </w:r>
      <w:r w:rsidR="00A738EB" w:rsidRPr="0083190B">
        <w:t xml:space="preserve">, 2007; </w:t>
      </w:r>
      <w:r w:rsidR="00C71E66" w:rsidRPr="0083190B">
        <w:t>PFAENDLER</w:t>
      </w:r>
      <w:r w:rsidR="0083190B">
        <w:t xml:space="preserve"> et al.</w:t>
      </w:r>
      <w:r w:rsidR="00A738EB" w:rsidRPr="0083190B">
        <w:t>, 2015;</w:t>
      </w:r>
      <w:r w:rsidR="00C71E66" w:rsidRPr="0083190B">
        <w:t xml:space="preserve"> </w:t>
      </w:r>
      <w:r w:rsidR="00C71E66" w:rsidRPr="00395600">
        <w:t>VIDAL</w:t>
      </w:r>
      <w:r w:rsidR="00A738EB" w:rsidRPr="00395600">
        <w:t>,</w:t>
      </w:r>
      <w:r w:rsidR="00C71E66" w:rsidRPr="00395600">
        <w:t xml:space="preserve"> 2008</w:t>
      </w:r>
      <w:r w:rsidR="00C71E66">
        <w:t>)</w:t>
      </w:r>
      <w:r w:rsidRPr="00EC7AC1">
        <w:t>.</w:t>
      </w:r>
    </w:p>
    <w:p w:rsidR="00E43C61" w:rsidRPr="00EC7AC1" w:rsidRDefault="00EC1A74" w:rsidP="00193B24">
      <w:pPr>
        <w:autoSpaceDE w:val="0"/>
        <w:autoSpaceDN w:val="0"/>
        <w:adjustRightInd w:val="0"/>
        <w:spacing w:line="480" w:lineRule="auto"/>
        <w:ind w:firstLine="600"/>
        <w:jc w:val="both"/>
      </w:pPr>
      <w:r>
        <w:t>Consequentemente</w:t>
      </w:r>
      <w:r w:rsidR="00E43C61" w:rsidRPr="00EC7AC1">
        <w:t>, a maioria das mulheres com diagnóstico de CCU vive durante anos com as sequelas da doença e do seu tratamento</w:t>
      </w:r>
      <w:r w:rsidR="00C71E66">
        <w:t xml:space="preserve"> (</w:t>
      </w:r>
      <w:r w:rsidR="00C71E66" w:rsidRPr="0083190B">
        <w:t>DONOVAN</w:t>
      </w:r>
      <w:r w:rsidR="0083190B">
        <w:t xml:space="preserve"> et al.</w:t>
      </w:r>
      <w:r w:rsidR="00286319" w:rsidRPr="0083190B">
        <w:t>,</w:t>
      </w:r>
      <w:r w:rsidR="00C71E66" w:rsidRPr="0083190B">
        <w:t xml:space="preserve"> 2007</w:t>
      </w:r>
      <w:r w:rsidR="00C71E66">
        <w:t>)</w:t>
      </w:r>
      <w:r w:rsidR="00E43C61" w:rsidRPr="00EC7AC1">
        <w:t>. Estes efeitos em l</w:t>
      </w:r>
      <w:r w:rsidR="00B534F8">
        <w:t>ongo prazo podem, então, acarretar</w:t>
      </w:r>
      <w:r w:rsidR="00E43C61" w:rsidRPr="00EC7AC1">
        <w:t xml:space="preserve"> alterações físicas, sociais e psicológicas crônicas</w:t>
      </w:r>
      <w:r w:rsidR="00BB4B0B">
        <w:t xml:space="preserve"> e, por conseguinte, comprometer</w:t>
      </w:r>
      <w:r w:rsidR="00E43C61" w:rsidRPr="00EC7AC1">
        <w:t xml:space="preserve"> a qualidade de vida (QV) dessas pacientes</w:t>
      </w:r>
      <w:r w:rsidR="00C71E66">
        <w:t xml:space="preserve"> (BARKER</w:t>
      </w:r>
      <w:r w:rsidR="0083190B">
        <w:t xml:space="preserve"> et al.</w:t>
      </w:r>
      <w:r w:rsidR="00286319">
        <w:t xml:space="preserve">, </w:t>
      </w:r>
      <w:r w:rsidR="00C71E66">
        <w:t>2009)</w:t>
      </w:r>
      <w:r w:rsidR="00E43C61" w:rsidRPr="00EC7AC1">
        <w:t>.</w:t>
      </w:r>
      <w:r w:rsidR="00FB6668">
        <w:t xml:space="preserve"> </w:t>
      </w:r>
      <w:r w:rsidR="00E43C61" w:rsidRPr="00EC7AC1">
        <w:t xml:space="preserve">O termo “qualidade de vida” é definido pelo </w:t>
      </w:r>
      <w:r w:rsidR="00D8668E" w:rsidRPr="00D8668E">
        <w:t>T</w:t>
      </w:r>
      <w:r w:rsidR="00960B40" w:rsidRPr="00D8668E">
        <w:t>he</w:t>
      </w:r>
      <w:r w:rsidR="00D8668E" w:rsidRPr="00D8668E">
        <w:t xml:space="preserve"> WHOQOL G</w:t>
      </w:r>
      <w:r w:rsidR="00960B40" w:rsidRPr="00960B40">
        <w:t>roup</w:t>
      </w:r>
      <w:r w:rsidR="00D8668E">
        <w:t xml:space="preserve"> </w:t>
      </w:r>
      <w:r w:rsidR="003E4947">
        <w:t>(1995)</w:t>
      </w:r>
      <w:r w:rsidR="00FB6668">
        <w:t xml:space="preserve"> </w:t>
      </w:r>
      <w:r w:rsidR="004B4EC0" w:rsidRPr="00EC7AC1">
        <w:t>como</w:t>
      </w:r>
      <w:r w:rsidR="00E43C61" w:rsidRPr="00EC7AC1">
        <w:t xml:space="preserve"> "a percepção do indivíduo de sua posição na vida no contexto da cultura e sistema de valores nos quais ele vive e em relação aos seus objetivos, expect</w:t>
      </w:r>
      <w:r>
        <w:t>ativas, padrões e preocupações"</w:t>
      </w:r>
      <w:r w:rsidR="00E43C61" w:rsidRPr="00EC7AC1">
        <w:t xml:space="preserve">. </w:t>
      </w:r>
    </w:p>
    <w:p w:rsidR="00E43C61" w:rsidRPr="00EC7AC1" w:rsidRDefault="00E43C61" w:rsidP="00193B24">
      <w:pPr>
        <w:autoSpaceDE w:val="0"/>
        <w:autoSpaceDN w:val="0"/>
        <w:adjustRightInd w:val="0"/>
        <w:spacing w:line="480" w:lineRule="auto"/>
        <w:ind w:firstLine="600"/>
        <w:jc w:val="both"/>
      </w:pPr>
      <w:r w:rsidRPr="00EC7AC1">
        <w:t xml:space="preserve">A melhora da qualidade de vida passou a constituir um dos pilares do tratamento do câncer à medida que </w:t>
      </w:r>
      <w:r w:rsidR="00BB4B0B">
        <w:t xml:space="preserve">se </w:t>
      </w:r>
      <w:r w:rsidR="00F2597F" w:rsidRPr="00EC7AC1">
        <w:t>verificou</w:t>
      </w:r>
      <w:r w:rsidRPr="00EC7AC1">
        <w:t xml:space="preserve"> que o importante não era apenas acrescentar “anos à vida”, mas ir além, acrescentando “vida aos anos”</w:t>
      </w:r>
      <w:r w:rsidR="00FB6668">
        <w:t xml:space="preserve"> </w:t>
      </w:r>
      <w:r w:rsidR="003E4947">
        <w:t>(</w:t>
      </w:r>
      <w:r w:rsidR="003E4947" w:rsidRPr="00EC7AC1">
        <w:t>FLECK</w:t>
      </w:r>
      <w:r w:rsidR="0083190B">
        <w:t xml:space="preserve"> et al.</w:t>
      </w:r>
      <w:r w:rsidR="003E4947">
        <w:t>, 1999)</w:t>
      </w:r>
      <w:r w:rsidRPr="00EC7AC1">
        <w:t xml:space="preserve">. Alguns autores, inclusive, afirmam que a QV </w:t>
      </w:r>
      <w:r w:rsidR="00783958">
        <w:t>influe</w:t>
      </w:r>
      <w:r w:rsidR="00395600" w:rsidRPr="00EC7AC1">
        <w:t>ncia</w:t>
      </w:r>
      <w:r w:rsidRPr="00EC7AC1">
        <w:t xml:space="preserve"> na sobrevida das sobreviventes ao CCU, que, desta forma, é vista também como um fator prognóstico</w:t>
      </w:r>
      <w:r w:rsidR="003E4947">
        <w:t xml:space="preserve"> (</w:t>
      </w:r>
      <w:r w:rsidR="003E4947" w:rsidRPr="003E4947">
        <w:t>ASHING-GIWA</w:t>
      </w:r>
      <w:r w:rsidR="00730D3E">
        <w:t>; LIM;</w:t>
      </w:r>
      <w:r w:rsidR="00D8668E">
        <w:t xml:space="preserve"> TANG, </w:t>
      </w:r>
      <w:r w:rsidR="003E4947">
        <w:t>2010)</w:t>
      </w:r>
      <w:r w:rsidRPr="00EC7AC1">
        <w:t>.</w:t>
      </w:r>
    </w:p>
    <w:p w:rsidR="00E42914" w:rsidRPr="00EC7AC1" w:rsidRDefault="00E43C61" w:rsidP="00193B24">
      <w:pPr>
        <w:autoSpaceDE w:val="0"/>
        <w:autoSpaceDN w:val="0"/>
        <w:adjustRightInd w:val="0"/>
        <w:spacing w:line="480" w:lineRule="auto"/>
        <w:ind w:firstLine="600"/>
        <w:jc w:val="both"/>
        <w:rPr>
          <w:shd w:val="clear" w:color="auto" w:fill="FFFFFF"/>
        </w:rPr>
      </w:pPr>
      <w:r w:rsidRPr="00EC7AC1">
        <w:lastRenderedPageBreak/>
        <w:t xml:space="preserve">Nesta perspectiva, há um interesse crescente em avaliar a QV de pacientes com câncer, almejando um tratamento alicerçado no cuidado integral e humanizado. Assim, este estudo tem como objetivo </w:t>
      </w:r>
      <w:r w:rsidR="004C2988">
        <w:rPr>
          <w:shd w:val="clear" w:color="auto" w:fill="FFFFFF"/>
        </w:rPr>
        <w:t>avaliar a qualidade de vida de mulheres sobreviventes ao câncer do colo do útero</w:t>
      </w:r>
      <w:r w:rsidRPr="00EC7AC1">
        <w:rPr>
          <w:shd w:val="clear" w:color="auto" w:fill="FFFFFF"/>
        </w:rPr>
        <w:t xml:space="preserve"> e comparar com um grupo controle de mulheres sem história de câncer.</w:t>
      </w:r>
    </w:p>
    <w:p w:rsidR="00E43C61" w:rsidRPr="00EC7AC1" w:rsidRDefault="000D7279" w:rsidP="00193B24">
      <w:pPr>
        <w:autoSpaceDE w:val="0"/>
        <w:autoSpaceDN w:val="0"/>
        <w:adjustRightInd w:val="0"/>
        <w:spacing w:line="480" w:lineRule="auto"/>
        <w:jc w:val="both"/>
      </w:pPr>
      <w:r>
        <w:t xml:space="preserve">2 </w:t>
      </w:r>
      <w:r w:rsidR="00E43C61" w:rsidRPr="000D7279">
        <w:rPr>
          <w:b/>
        </w:rPr>
        <w:t>MÉTODOS</w:t>
      </w:r>
    </w:p>
    <w:p w:rsidR="00E43C61" w:rsidRPr="00EC7AC1" w:rsidRDefault="00E43C61" w:rsidP="00193B24">
      <w:pPr>
        <w:spacing w:line="480" w:lineRule="auto"/>
        <w:ind w:right="23" w:firstLine="600"/>
        <w:jc w:val="both"/>
      </w:pPr>
      <w:r w:rsidRPr="00EC7AC1">
        <w:t xml:space="preserve">Trata-se de </w:t>
      </w:r>
      <w:r w:rsidR="00E51999" w:rsidRPr="00EC7AC1">
        <w:t xml:space="preserve">um </w:t>
      </w:r>
      <w:r w:rsidRPr="00EC7AC1">
        <w:t>estud</w:t>
      </w:r>
      <w:r w:rsidR="000C45F5" w:rsidRPr="00EC7AC1">
        <w:t>o observacional</w:t>
      </w:r>
      <w:r w:rsidR="00FB6668">
        <w:t xml:space="preserve"> </w:t>
      </w:r>
      <w:r w:rsidR="004434ED" w:rsidRPr="00EC7AC1">
        <w:t xml:space="preserve">analítico </w:t>
      </w:r>
      <w:r w:rsidR="00E51999" w:rsidRPr="00EC7AC1">
        <w:t>com amostra</w:t>
      </w:r>
      <w:r w:rsidRPr="00EC7AC1">
        <w:t xml:space="preserve"> composta por </w:t>
      </w:r>
      <w:r w:rsidR="00846024" w:rsidRPr="00EC7AC1">
        <w:t xml:space="preserve">um </w:t>
      </w:r>
      <w:r w:rsidR="00692A8E" w:rsidRPr="00EC7AC1">
        <w:t xml:space="preserve">grupo </w:t>
      </w:r>
      <w:r w:rsidR="00846024" w:rsidRPr="00EC7AC1">
        <w:t>câncer</w:t>
      </w:r>
      <w:r w:rsidRPr="00EC7AC1">
        <w:t xml:space="preserve"> e</w:t>
      </w:r>
      <w:r w:rsidR="00846024" w:rsidRPr="00EC7AC1">
        <w:t xml:space="preserve"> um</w:t>
      </w:r>
      <w:r w:rsidR="00692A8E" w:rsidRPr="00EC7AC1">
        <w:t xml:space="preserve"> grupo</w:t>
      </w:r>
      <w:r w:rsidR="009E0742">
        <w:t xml:space="preserve"> controle. </w:t>
      </w:r>
      <w:r w:rsidRPr="00EC7AC1">
        <w:t>O</w:t>
      </w:r>
      <w:r w:rsidR="00692A8E" w:rsidRPr="00EC7AC1">
        <w:t xml:space="preserve"> grupo câncer</w:t>
      </w:r>
      <w:r w:rsidR="00461A05" w:rsidRPr="00EC7AC1">
        <w:t xml:space="preserve"> (Gcâncer)</w:t>
      </w:r>
      <w:r w:rsidR="00692A8E" w:rsidRPr="00EC7AC1">
        <w:t xml:space="preserve"> foi composto por mulheres tratadas para o CCU no período de </w:t>
      </w:r>
      <w:smartTag w:uri="urn:schemas-microsoft-com:office:smarttags" w:element="metricconverter">
        <w:smartTagPr>
          <w:attr w:name="ProductID" w:val="2005 a"/>
        </w:smartTagPr>
        <w:r w:rsidR="00692A8E" w:rsidRPr="00EC7AC1">
          <w:t>2005 a</w:t>
        </w:r>
      </w:smartTag>
      <w:r w:rsidR="00692A8E" w:rsidRPr="00EC7AC1">
        <w:t xml:space="preserve"> 2013, com conclusão do tratamen</w:t>
      </w:r>
      <w:r w:rsidR="00EC544D">
        <w:t>to</w:t>
      </w:r>
      <w:r w:rsidR="00FB6668">
        <w:t xml:space="preserve"> </w:t>
      </w:r>
      <w:r w:rsidR="000C4CB1" w:rsidRPr="00EC7AC1">
        <w:t xml:space="preserve">há, no mínimo, três meses </w:t>
      </w:r>
      <w:r w:rsidR="009E0742">
        <w:t>da</w:t>
      </w:r>
      <w:r w:rsidR="000C4CB1" w:rsidRPr="00EC7AC1">
        <w:t xml:space="preserve"> data de</w:t>
      </w:r>
      <w:r w:rsidR="00692A8E" w:rsidRPr="00EC7AC1">
        <w:t xml:space="preserve"> coleta dos dados. O</w:t>
      </w:r>
      <w:r w:rsidRPr="00EC7AC1">
        <w:t xml:space="preserve"> recrutamen</w:t>
      </w:r>
      <w:r w:rsidR="00692A8E" w:rsidRPr="00EC7AC1">
        <w:t>to deste grupo foi efetuado em duas instituições públicas de referência para o tratamento oncoló</w:t>
      </w:r>
      <w:r w:rsidR="00846024" w:rsidRPr="00EC7AC1">
        <w:t xml:space="preserve">gico na cidade de Juiz de Fora, </w:t>
      </w:r>
      <w:r w:rsidR="00692A8E" w:rsidRPr="00EC7AC1">
        <w:t>M</w:t>
      </w:r>
      <w:r w:rsidR="00846024" w:rsidRPr="00EC7AC1">
        <w:t>inas Gerais, Brasil</w:t>
      </w:r>
      <w:r w:rsidR="00692A8E" w:rsidRPr="00EC7AC1">
        <w:t>.</w:t>
      </w:r>
      <w:r w:rsidR="00FB6668">
        <w:t xml:space="preserve"> </w:t>
      </w:r>
      <w:r w:rsidR="004434ED" w:rsidRPr="00EC7AC1">
        <w:t xml:space="preserve">Foram </w:t>
      </w:r>
      <w:r w:rsidRPr="00EC7AC1">
        <w:t>incluídas as pacientes que c</w:t>
      </w:r>
      <w:r w:rsidR="004434ED" w:rsidRPr="00EC7AC1">
        <w:t>ompareceram</w:t>
      </w:r>
      <w:r w:rsidRPr="00EC7AC1">
        <w:t xml:space="preserve"> aos serviços, cumpri</w:t>
      </w:r>
      <w:r w:rsidR="004434ED" w:rsidRPr="00EC7AC1">
        <w:t>r</w:t>
      </w:r>
      <w:r w:rsidRPr="00EC7AC1">
        <w:t>am os critérios de elegibilidade e aceitaram participar</w:t>
      </w:r>
      <w:r w:rsidR="004434ED" w:rsidRPr="00EC7AC1">
        <w:t xml:space="preserve"> da pesquisa</w:t>
      </w:r>
      <w:r w:rsidRPr="00EC7AC1">
        <w:t>. Para cada sobrevivente ao câncer, foi selecionada aleatoriamente, para compor o grupo controle</w:t>
      </w:r>
      <w:r w:rsidR="00461A05" w:rsidRPr="00EC7AC1">
        <w:t xml:space="preserve"> (Gcontrole)</w:t>
      </w:r>
      <w:r w:rsidRPr="00EC7AC1">
        <w:t xml:space="preserve"> de base populacional, uma mulher sem história de câncer, com características socioeconômic</w:t>
      </w:r>
      <w:r w:rsidR="00692A8E" w:rsidRPr="00EC7AC1">
        <w:t xml:space="preserve">as e demográficas semelhantes. </w:t>
      </w:r>
      <w:r w:rsidRPr="00EC7AC1">
        <w:t xml:space="preserve">O tamanho amostral atendeu </w:t>
      </w:r>
      <w:r w:rsidR="00692A8E" w:rsidRPr="00EC7AC1">
        <w:t>a</w:t>
      </w:r>
      <w:r w:rsidRPr="00EC7AC1">
        <w:t xml:space="preserve">o referencial da literatura que </w:t>
      </w:r>
      <w:r w:rsidR="00BB4B0B">
        <w:t>considera</w:t>
      </w:r>
      <w:r w:rsidRPr="00EC7AC1">
        <w:t xml:space="preserve"> qualidade</w:t>
      </w:r>
      <w:r w:rsidR="00BB4B0B">
        <w:t xml:space="preserve"> de vida superior em mulheres sem</w:t>
      </w:r>
      <w:r w:rsidRPr="00EC7AC1">
        <w:t xml:space="preserve"> câncer ginecológico comparado com aquelas</w:t>
      </w:r>
      <w:r w:rsidR="00BB4B0B">
        <w:t xml:space="preserve"> com</w:t>
      </w:r>
      <w:r w:rsidR="00692A8E" w:rsidRPr="00EC7AC1">
        <w:t xml:space="preserve"> história da doença</w:t>
      </w:r>
      <w:r w:rsidRPr="00EC7AC1">
        <w:t>. Assim</w:t>
      </w:r>
      <w:r w:rsidR="00692A8E" w:rsidRPr="00EC7AC1">
        <w:t>,</w:t>
      </w:r>
      <w:r w:rsidRPr="00EC7AC1">
        <w:t xml:space="preserve"> admitindo-se uma proporção de satisfação entre casos de 45% e nos controles de 80%, com número de controles por caso de 1, poder de teste de 80% e nível de significância de 80%, estimou-se 36 cas</w:t>
      </w:r>
      <w:r w:rsidR="00B02CD3">
        <w:t>os e seus respectivos controles</w:t>
      </w:r>
      <w:r w:rsidR="009E0742">
        <w:t xml:space="preserve"> </w:t>
      </w:r>
      <w:r w:rsidR="003E4947">
        <w:t>(</w:t>
      </w:r>
      <w:r w:rsidR="009E0742" w:rsidRPr="003E4947">
        <w:t>FRUMOVITZ</w:t>
      </w:r>
      <w:r w:rsidR="009E0742">
        <w:t xml:space="preserve"> et al., 2005; </w:t>
      </w:r>
      <w:r w:rsidR="003E4947" w:rsidRPr="003E4947">
        <w:rPr>
          <w:shd w:val="clear" w:color="auto" w:fill="FFFFFF"/>
        </w:rPr>
        <w:t>SCHLESSELMAN</w:t>
      </w:r>
      <w:r w:rsidR="009E0742">
        <w:rPr>
          <w:shd w:val="clear" w:color="auto" w:fill="FFFFFF"/>
        </w:rPr>
        <w:t>, 1982</w:t>
      </w:r>
      <w:r w:rsidR="003E4947">
        <w:t>)</w:t>
      </w:r>
      <w:r w:rsidRPr="00EC7AC1">
        <w:t>.</w:t>
      </w:r>
    </w:p>
    <w:p w:rsidR="00E51999" w:rsidRPr="00EC7AC1" w:rsidRDefault="00BB4B0B" w:rsidP="00193B24">
      <w:pPr>
        <w:spacing w:line="480" w:lineRule="auto"/>
        <w:ind w:right="23" w:firstLine="600"/>
        <w:jc w:val="both"/>
      </w:pPr>
      <w:r w:rsidRPr="00BB4B0B">
        <w:t>Foram excluídas as pacientes que apresentavam:</w:t>
      </w:r>
      <w:r w:rsidR="00FB6668">
        <w:t xml:space="preserve"> </w:t>
      </w:r>
      <w:r w:rsidR="00E43C61" w:rsidRPr="00EC7AC1">
        <w:t>diagnósti</w:t>
      </w:r>
      <w:r w:rsidR="003C4200" w:rsidRPr="00EC7AC1">
        <w:t>co de transtornos psiquiátricos;</w:t>
      </w:r>
      <w:r w:rsidR="00E43C61" w:rsidRPr="00EC7AC1">
        <w:t xml:space="preserve"> doenças mentais ou neurológicas, com algum déficit cognitivo; história de </w:t>
      </w:r>
      <w:r w:rsidR="00E43C61" w:rsidRPr="00EC7AC1">
        <w:lastRenderedPageBreak/>
        <w:t>outro câncer</w:t>
      </w:r>
      <w:r w:rsidR="00FB6668">
        <w:t xml:space="preserve"> </w:t>
      </w:r>
      <w:r w:rsidR="007E759F" w:rsidRPr="00EC7AC1">
        <w:t>ou recidiva da doença</w:t>
      </w:r>
      <w:r w:rsidR="00E43C61" w:rsidRPr="00EC7AC1">
        <w:t xml:space="preserve"> (para as mulheres do grupo câncer) ou de morbidade importante como insuficiência renal crônica, insuficiência cardíaca, doença pulmonar obstrutiva crônica ou distúrbios </w:t>
      </w:r>
      <w:proofErr w:type="spellStart"/>
      <w:r w:rsidR="00E43C61" w:rsidRPr="00EC7AC1">
        <w:t>osteomioarti</w:t>
      </w:r>
      <w:r w:rsidR="003C4200" w:rsidRPr="00EC7AC1">
        <w:t>culares</w:t>
      </w:r>
      <w:proofErr w:type="spellEnd"/>
      <w:r w:rsidR="003C4200" w:rsidRPr="00EC7AC1">
        <w:t xml:space="preserve"> graves e incapacitantes</w:t>
      </w:r>
      <w:r w:rsidR="00E43C61" w:rsidRPr="00EC7AC1">
        <w:t xml:space="preserve">. </w:t>
      </w:r>
    </w:p>
    <w:p w:rsidR="003C4200" w:rsidRPr="00EC7AC1" w:rsidRDefault="00E43C61" w:rsidP="001136A5">
      <w:pPr>
        <w:spacing w:line="480" w:lineRule="auto"/>
        <w:ind w:right="23" w:firstLine="600"/>
        <w:jc w:val="both"/>
      </w:pPr>
      <w:r w:rsidRPr="00EC7AC1">
        <w:t>A coleta de dados foi realizada de janeiro a outubro de 2013. As mulheres que cumpriram os critérios de elegibilidade foram convidadas a participar da pesquisa e devidamente informadas quanto aos procedimentos, justificativa e relevância de tal estudo.  Aquelas que aceitaram participar</w:t>
      </w:r>
      <w:r w:rsidR="00CA4A29" w:rsidRPr="00EC7AC1">
        <w:t xml:space="preserve"> assinaram</w:t>
      </w:r>
      <w:r w:rsidRPr="00EC7AC1">
        <w:t xml:space="preserve"> o termo de consentimento livre e esclarecido e, </w:t>
      </w:r>
      <w:r w:rsidR="00BB4B0B">
        <w:t>em seguida, os dados foram coletados</w:t>
      </w:r>
      <w:r w:rsidRPr="00EC7AC1">
        <w:t xml:space="preserve"> através de entrevista face a face com as participan</w:t>
      </w:r>
      <w:r w:rsidR="00BB4B0B">
        <w:t>tes, em espaço adequado, com a utilização</w:t>
      </w:r>
      <w:r w:rsidRPr="00EC7AC1">
        <w:t xml:space="preserve"> dos seguintes instrumentos:</w:t>
      </w:r>
      <w:r w:rsidR="00437B9E">
        <w:t xml:space="preserve"> </w:t>
      </w:r>
      <w:r w:rsidR="00E51999" w:rsidRPr="00EC7AC1">
        <w:t xml:space="preserve">1) </w:t>
      </w:r>
      <w:r w:rsidRPr="00EC7AC1">
        <w:t>Questionário de c</w:t>
      </w:r>
      <w:r w:rsidR="008543AB" w:rsidRPr="00EC7AC1">
        <w:t>aracterização da amostra: compos</w:t>
      </w:r>
      <w:r w:rsidRPr="00EC7AC1">
        <w:t xml:space="preserve">to por questões referentes a características socioeconômicas e demográficas; hábitos de vida; suporte/rede social; menopausa, sexualidade, comorbidades e sintomas autorreferidos (que no grupo câncer poderiam estar associados à doença ou ao tratamento). </w:t>
      </w:r>
      <w:r w:rsidR="00BB4B0B" w:rsidRPr="00EC7AC1">
        <w:t xml:space="preserve">Para o grupo câncer, </w:t>
      </w:r>
      <w:r w:rsidR="00BB4B0B" w:rsidRPr="00BB4B0B">
        <w:t>foram investigados características da doença e do tratamento realizado, e o diagnóstico de outras comorbidades,</w:t>
      </w:r>
      <w:r w:rsidRPr="00BB4B0B">
        <w:t xml:space="preserve"> cujos dados foram obtidos por meio de busca nos prontuários</w:t>
      </w:r>
      <w:r w:rsidRPr="00EC7AC1">
        <w:t>.</w:t>
      </w:r>
      <w:r w:rsidR="00E51999" w:rsidRPr="00EC7AC1">
        <w:t xml:space="preserve"> 2) </w:t>
      </w:r>
      <w:r w:rsidR="00BB4B0B" w:rsidRPr="00EC7AC1">
        <w:t xml:space="preserve">Questionário de avaliação da função sexual: foi utilizado o </w:t>
      </w:r>
      <w:proofErr w:type="spellStart"/>
      <w:r w:rsidR="00BB4B0B" w:rsidRPr="00437B9E">
        <w:t>Female</w:t>
      </w:r>
      <w:proofErr w:type="spellEnd"/>
      <w:r w:rsidR="00BB4B0B" w:rsidRPr="00437B9E">
        <w:t xml:space="preserve"> Sexual </w:t>
      </w:r>
      <w:proofErr w:type="spellStart"/>
      <w:r w:rsidR="00BB4B0B" w:rsidRPr="00437B9E">
        <w:t>Function</w:t>
      </w:r>
      <w:proofErr w:type="spellEnd"/>
      <w:r w:rsidR="00BB4B0B" w:rsidRPr="00437B9E">
        <w:t xml:space="preserve"> Índex</w:t>
      </w:r>
      <w:r w:rsidR="00FB6668">
        <w:rPr>
          <w:i/>
        </w:rPr>
        <w:t xml:space="preserve"> </w:t>
      </w:r>
      <w:r w:rsidR="00BB4B0B" w:rsidRPr="00BB4B0B">
        <w:t>para avaliar a função sexual das participantes sexualmente ativas</w:t>
      </w:r>
      <w:r w:rsidR="00BB4B0B" w:rsidRPr="00EC7AC1">
        <w:t xml:space="preserve">– FSFI. </w:t>
      </w:r>
      <w:r w:rsidRPr="00EC7AC1">
        <w:t>Este instrumento apresenta fortes propriedades psicométricas para avaliar e monitorar a função sexual entre mulheres sexualmente ativas sobreviventes ao câncer, inclusive ao câncer de colo uterino</w:t>
      </w:r>
      <w:r w:rsidR="001136A5">
        <w:t xml:space="preserve"> (</w:t>
      </w:r>
      <w:r w:rsidR="00730D3E">
        <w:t>BASER; CARTER;</w:t>
      </w:r>
      <w:r w:rsidR="00D8668E">
        <w:t xml:space="preserve"> LI, </w:t>
      </w:r>
      <w:r w:rsidR="00437B9E">
        <w:t>2012</w:t>
      </w:r>
      <w:r w:rsidR="001136A5" w:rsidRPr="001136A5">
        <w:t>)</w:t>
      </w:r>
      <w:r w:rsidR="003C4200" w:rsidRPr="00EC7AC1">
        <w:t xml:space="preserve">. É composto por 19 questões e seu </w:t>
      </w:r>
      <w:r w:rsidRPr="00EC7AC1">
        <w:t xml:space="preserve">escore total pode variar de </w:t>
      </w:r>
      <w:smartTag w:uri="urn:schemas-microsoft-com:office:smarttags" w:element="metricconverter">
        <w:smartTagPr>
          <w:attr w:name="ProductID" w:val="2 a"/>
        </w:smartTagPr>
        <w:r w:rsidRPr="00EC7AC1">
          <w:t>2 a</w:t>
        </w:r>
      </w:smartTag>
      <w:r w:rsidRPr="00EC7AC1">
        <w:t xml:space="preserve"> 36 pontos, sendo que valores mais elevados representam melhor função sexual. Para classificar a presença de disfunção sexual, utilizou-se o ponto de corte de 26 pontos (escore total ≤</w:t>
      </w:r>
      <w:r w:rsidR="00437B9E">
        <w:t xml:space="preserve"> 26 = </w:t>
      </w:r>
      <w:r w:rsidRPr="00EC7AC1">
        <w:t>disfunção sexual)</w:t>
      </w:r>
      <w:r w:rsidR="001136A5">
        <w:t xml:space="preserve"> (</w:t>
      </w:r>
      <w:r w:rsidR="001136A5" w:rsidRPr="001136A5">
        <w:t>WIEGEL</w:t>
      </w:r>
      <w:r w:rsidR="00730D3E">
        <w:t>;</w:t>
      </w:r>
      <w:r w:rsidR="00D8668E">
        <w:t xml:space="preserve"> </w:t>
      </w:r>
      <w:r w:rsidR="00D8668E" w:rsidRPr="00D8668E">
        <w:t>MESTON</w:t>
      </w:r>
      <w:r w:rsidR="00730D3E">
        <w:t>;</w:t>
      </w:r>
      <w:r w:rsidR="00D8668E">
        <w:t xml:space="preserve"> ROSEN, </w:t>
      </w:r>
      <w:r w:rsidR="001136A5">
        <w:t xml:space="preserve">2005). </w:t>
      </w:r>
      <w:r w:rsidR="00E51999" w:rsidRPr="00EC7AC1">
        <w:t xml:space="preserve">3) </w:t>
      </w:r>
      <w:r w:rsidRPr="00EC7AC1">
        <w:t xml:space="preserve">Questionário de avaliação da qualidade de vida: </w:t>
      </w:r>
      <w:r w:rsidR="003C4200" w:rsidRPr="00EC7AC1">
        <w:t xml:space="preserve">foi utilizado o </w:t>
      </w:r>
      <w:r w:rsidRPr="00EC7AC1">
        <w:rPr>
          <w:shd w:val="clear" w:color="auto" w:fill="FFFFFF"/>
        </w:rPr>
        <w:t xml:space="preserve">instrumento desenvolvido </w:t>
      </w:r>
      <w:r w:rsidRPr="00EC7AC1">
        <w:rPr>
          <w:shd w:val="clear" w:color="auto" w:fill="FFFFFF"/>
        </w:rPr>
        <w:lastRenderedPageBreak/>
        <w:t>pela Organização Mundial da Saúde em sua versão abreviada, o WHOQOL-</w:t>
      </w:r>
      <w:proofErr w:type="spellStart"/>
      <w:r w:rsidRPr="00EC7AC1">
        <w:rPr>
          <w:shd w:val="clear" w:color="auto" w:fill="FFFFFF"/>
        </w:rPr>
        <w:t>bref</w:t>
      </w:r>
      <w:proofErr w:type="spellEnd"/>
      <w:r w:rsidRPr="00EC7AC1">
        <w:t xml:space="preserve"> (</w:t>
      </w:r>
      <w:r w:rsidRPr="00EC7AC1">
        <w:rPr>
          <w:i/>
        </w:rPr>
        <w:t xml:space="preserve">World Health </w:t>
      </w:r>
      <w:proofErr w:type="spellStart"/>
      <w:r w:rsidRPr="00EC7AC1">
        <w:rPr>
          <w:i/>
        </w:rPr>
        <w:t>Organization</w:t>
      </w:r>
      <w:proofErr w:type="spellEnd"/>
      <w:r w:rsidR="00FB6668">
        <w:rPr>
          <w:i/>
        </w:rPr>
        <w:t xml:space="preserve"> </w:t>
      </w:r>
      <w:proofErr w:type="spellStart"/>
      <w:r w:rsidRPr="00EC7AC1">
        <w:rPr>
          <w:i/>
        </w:rPr>
        <w:t>Quality</w:t>
      </w:r>
      <w:proofErr w:type="spellEnd"/>
      <w:r w:rsidR="00FB6668">
        <w:rPr>
          <w:i/>
        </w:rPr>
        <w:t xml:space="preserve"> </w:t>
      </w:r>
      <w:proofErr w:type="spellStart"/>
      <w:r w:rsidRPr="00EC7AC1">
        <w:rPr>
          <w:i/>
        </w:rPr>
        <w:t>of</w:t>
      </w:r>
      <w:proofErr w:type="spellEnd"/>
      <w:r w:rsidRPr="00EC7AC1">
        <w:rPr>
          <w:i/>
        </w:rPr>
        <w:t xml:space="preserve"> Life </w:t>
      </w:r>
      <w:proofErr w:type="spellStart"/>
      <w:r w:rsidRPr="00EC7AC1">
        <w:rPr>
          <w:i/>
        </w:rPr>
        <w:t>Instrument</w:t>
      </w:r>
      <w:proofErr w:type="spellEnd"/>
      <w:r w:rsidRPr="00EC7AC1">
        <w:t xml:space="preserve"> – abreviado). </w:t>
      </w:r>
      <w:r w:rsidR="003C4200" w:rsidRPr="00EC7AC1">
        <w:t>Este é</w:t>
      </w:r>
      <w:r w:rsidRPr="00EC7AC1">
        <w:t xml:space="preserve"> traduzido e validado para </w:t>
      </w:r>
      <w:r w:rsidR="00BB4B0B">
        <w:t>uso</w:t>
      </w:r>
      <w:r w:rsidRPr="00EC7AC1">
        <w:t xml:space="preserve"> na população brasileira e se propõe a avaliar a QV de forma multidimensional e subjetiva</w:t>
      </w:r>
      <w:r w:rsidR="001136A5">
        <w:t xml:space="preserve"> (</w:t>
      </w:r>
      <w:r w:rsidR="001136A5" w:rsidRPr="00EC7AC1">
        <w:t>FLECK</w:t>
      </w:r>
      <w:r w:rsidR="001136A5">
        <w:t>, 2000)</w:t>
      </w:r>
      <w:r w:rsidRPr="00EC7AC1">
        <w:t>. É composto por 26 questões: duas sobre qualidade de vida global, englobando a percepção da QV e a satisfação com a saúde, e as demais representando cada uma das 24 facetas que compõem o WHOQOL-100; estas são organizadas em quatro domínios: Físico, Psicológico, Relações Sociais e Meio Ambiente</w:t>
      </w:r>
      <w:r w:rsidR="001136A5">
        <w:t xml:space="preserve"> (</w:t>
      </w:r>
      <w:r w:rsidR="001136A5" w:rsidRPr="00EC7AC1">
        <w:t>FLECK</w:t>
      </w:r>
      <w:r w:rsidR="001136A5">
        <w:t xml:space="preserve">, 2000; </w:t>
      </w:r>
      <w:r w:rsidR="001136A5" w:rsidRPr="001136A5">
        <w:rPr>
          <w:shd w:val="clear" w:color="auto" w:fill="FFFFFF"/>
        </w:rPr>
        <w:t>KHALIL</w:t>
      </w:r>
      <w:r w:rsidR="00987B49">
        <w:rPr>
          <w:shd w:val="clear" w:color="auto" w:fill="FFFFFF"/>
        </w:rPr>
        <w:t xml:space="preserve"> et al.</w:t>
      </w:r>
      <w:r w:rsidR="001136A5">
        <w:rPr>
          <w:shd w:val="clear" w:color="auto" w:fill="FFFFFF"/>
        </w:rPr>
        <w:t>, 2015)</w:t>
      </w:r>
      <w:r w:rsidRPr="00EC7AC1">
        <w:t xml:space="preserve">. </w:t>
      </w:r>
      <w:r w:rsidR="003C4200" w:rsidRPr="00EC7AC1">
        <w:t>Os resultados do WHOQOL-</w:t>
      </w:r>
      <w:proofErr w:type="spellStart"/>
      <w:r w:rsidR="003C4200" w:rsidRPr="00EC7AC1">
        <w:t>bref</w:t>
      </w:r>
      <w:proofErr w:type="spellEnd"/>
      <w:r w:rsidR="003C4200" w:rsidRPr="00EC7AC1">
        <w:t xml:space="preserve"> são analisados por domínio, pois não existe um escore total para esse questionário e os escores são </w:t>
      </w:r>
      <w:r w:rsidRPr="00EC7AC1">
        <w:t>padroniza</w:t>
      </w:r>
      <w:r w:rsidR="003C4200" w:rsidRPr="00EC7AC1">
        <w:t>dos</w:t>
      </w:r>
      <w:r w:rsidRPr="00EC7AC1">
        <w:t xml:space="preserve"> para </w:t>
      </w:r>
      <w:r w:rsidR="00BB4B0B">
        <w:t>uma variação</w:t>
      </w:r>
      <w:r w:rsidRPr="00EC7AC1">
        <w:t xml:space="preserve"> de </w:t>
      </w:r>
      <w:smartTag w:uri="urn:schemas-microsoft-com:office:smarttags" w:element="metricconverter">
        <w:smartTagPr>
          <w:attr w:name="ProductID" w:val="0 a"/>
        </w:smartTagPr>
        <w:r w:rsidRPr="00EC7AC1">
          <w:t>0 a</w:t>
        </w:r>
      </w:smartTag>
      <w:r w:rsidRPr="00EC7AC1">
        <w:t xml:space="preserve"> 100 pontos (sendo </w:t>
      </w:r>
      <w:smartTag w:uri="urn:schemas-microsoft-com:office:smarttags" w:element="metricconverter">
        <w:smartTagPr>
          <w:attr w:name="ProductID" w:val="100 a"/>
        </w:smartTagPr>
        <w:r w:rsidRPr="00EC7AC1">
          <w:t>100 a</w:t>
        </w:r>
      </w:smartTag>
      <w:r w:rsidRPr="00EC7AC1">
        <w:t xml:space="preserve"> melhor QV possível). </w:t>
      </w:r>
    </w:p>
    <w:p w:rsidR="00E51999" w:rsidRPr="00EC7AC1" w:rsidRDefault="00E43C61" w:rsidP="00193B24">
      <w:pPr>
        <w:spacing w:line="480" w:lineRule="auto"/>
        <w:ind w:right="23" w:firstLine="600"/>
        <w:jc w:val="both"/>
      </w:pPr>
      <w:r w:rsidRPr="00EC7AC1">
        <w:t>O estudo foi aprovado pelo Comitê de Ética em Pesquisa da Universidade Federal de Juiz de Fora, sob o parecer nº 131.805</w:t>
      </w:r>
      <w:r w:rsidR="00734149" w:rsidRPr="00EC7AC1">
        <w:t>/2012</w:t>
      </w:r>
      <w:r w:rsidRPr="00EC7AC1">
        <w:t xml:space="preserve">. </w:t>
      </w:r>
    </w:p>
    <w:p w:rsidR="0067100F" w:rsidRDefault="00524B7A" w:rsidP="0067100F">
      <w:pPr>
        <w:spacing w:line="480" w:lineRule="auto"/>
        <w:ind w:right="23" w:firstLine="600"/>
        <w:jc w:val="both"/>
      </w:pPr>
      <w:r w:rsidRPr="00EC7AC1">
        <w:t xml:space="preserve">Os dados foram armazenados e analisados no </w:t>
      </w:r>
      <w:r w:rsidRPr="00EC7AC1">
        <w:rPr>
          <w:i/>
        </w:rPr>
        <w:t>software</w:t>
      </w:r>
      <w:r w:rsidR="00FB6668">
        <w:rPr>
          <w:i/>
        </w:rPr>
        <w:t xml:space="preserve"> </w:t>
      </w:r>
      <w:proofErr w:type="spellStart"/>
      <w:r w:rsidRPr="00EC7AC1">
        <w:rPr>
          <w:i/>
        </w:rPr>
        <w:t>Statistical</w:t>
      </w:r>
      <w:proofErr w:type="spellEnd"/>
      <w:r w:rsidR="00FB6668">
        <w:rPr>
          <w:i/>
        </w:rPr>
        <w:t xml:space="preserve"> </w:t>
      </w:r>
      <w:proofErr w:type="spellStart"/>
      <w:r w:rsidRPr="00EC7AC1">
        <w:rPr>
          <w:i/>
        </w:rPr>
        <w:t>Package</w:t>
      </w:r>
      <w:proofErr w:type="spellEnd"/>
      <w:r w:rsidRPr="00EC7AC1">
        <w:rPr>
          <w:i/>
        </w:rPr>
        <w:t xml:space="preserve"> for Social </w:t>
      </w:r>
      <w:proofErr w:type="spellStart"/>
      <w:r w:rsidRPr="00EC7AC1">
        <w:rPr>
          <w:i/>
        </w:rPr>
        <w:t>Sciences</w:t>
      </w:r>
      <w:proofErr w:type="spellEnd"/>
      <w:r w:rsidRPr="00EC7AC1">
        <w:t xml:space="preserve"> (SPSS), versão 21.0. </w:t>
      </w:r>
      <w:r w:rsidR="006B27C9" w:rsidRPr="00EC7AC1">
        <w:t>A</w:t>
      </w:r>
      <w:r w:rsidR="00E43C61" w:rsidRPr="00EC7AC1">
        <w:t xml:space="preserve"> fim de </w:t>
      </w:r>
      <w:r w:rsidR="006B27C9" w:rsidRPr="00EC7AC1">
        <w:t xml:space="preserve">comparar os </w:t>
      </w:r>
      <w:r w:rsidR="00E43C61" w:rsidRPr="00EC7AC1">
        <w:t>grupos</w:t>
      </w:r>
      <w:r w:rsidR="006B27C9" w:rsidRPr="00EC7AC1">
        <w:t xml:space="preserve"> estudados em relação a</w:t>
      </w:r>
      <w:r w:rsidR="00E43C61" w:rsidRPr="00EC7AC1">
        <w:t xml:space="preserve"> variáveis numéricas</w:t>
      </w:r>
      <w:r w:rsidR="00BB4B0B">
        <w:t>,</w:t>
      </w:r>
      <w:r w:rsidR="00E43C61" w:rsidRPr="00EC7AC1">
        <w:t xml:space="preserve"> utilizou-se o Teste de </w:t>
      </w:r>
      <w:r w:rsidR="00E43C61" w:rsidRPr="00EC7AC1">
        <w:rPr>
          <w:i/>
        </w:rPr>
        <w:t>Mann Whitney</w:t>
      </w:r>
      <w:r w:rsidR="00E43C61" w:rsidRPr="00EC7AC1">
        <w:t xml:space="preserve"> e, para as </w:t>
      </w:r>
      <w:r w:rsidR="00D30151" w:rsidRPr="00EC7AC1">
        <w:t xml:space="preserve">variáveis </w:t>
      </w:r>
      <w:r w:rsidRPr="00EC7AC1">
        <w:t>categóricas,</w:t>
      </w:r>
      <w:r w:rsidR="00E43C61" w:rsidRPr="00EC7AC1">
        <w:t xml:space="preserve"> foi aplicado o teste </w:t>
      </w:r>
      <w:proofErr w:type="spellStart"/>
      <w:r w:rsidR="00E43C61" w:rsidRPr="00EC7AC1">
        <w:rPr>
          <w:i/>
        </w:rPr>
        <w:t>Qui</w:t>
      </w:r>
      <w:proofErr w:type="spellEnd"/>
      <w:r w:rsidR="00E43C61" w:rsidRPr="00EC7AC1">
        <w:rPr>
          <w:i/>
        </w:rPr>
        <w:t>-quadrado</w:t>
      </w:r>
      <w:r w:rsidR="00E43C61" w:rsidRPr="00EC7AC1">
        <w:t xml:space="preserve"> (χ</w:t>
      </w:r>
      <w:r w:rsidR="00E43C61" w:rsidRPr="00EC7AC1">
        <w:rPr>
          <w:vertAlign w:val="superscript"/>
        </w:rPr>
        <w:t>2</w:t>
      </w:r>
      <w:r w:rsidR="00E43C61" w:rsidRPr="00EC7AC1">
        <w:t xml:space="preserve">) ou </w:t>
      </w:r>
      <w:r w:rsidR="00E43C61" w:rsidRPr="00437B9E">
        <w:rPr>
          <w:i/>
        </w:rPr>
        <w:t>Exato de Fischer</w:t>
      </w:r>
      <w:r w:rsidR="00E43C61" w:rsidRPr="00EC7AC1">
        <w:t xml:space="preserve">, </w:t>
      </w:r>
      <w:r w:rsidR="00437B9E" w:rsidRPr="00EC7AC1">
        <w:t>quando adequado</w:t>
      </w:r>
      <w:r w:rsidR="00E43C61" w:rsidRPr="00EC7AC1">
        <w:t xml:space="preserve">. </w:t>
      </w:r>
      <w:r w:rsidR="00533536" w:rsidRPr="00EC7AC1">
        <w:t>Foi realizada regressão linear para avaliar as variáveis associadas à qualidade de vida</w:t>
      </w:r>
      <w:r w:rsidR="00053A8E" w:rsidRPr="00EC7AC1">
        <w:t>, sendo incluídas as variáveis explicativas que apresentaram p&lt;0,10 na comparação entre os grupos</w:t>
      </w:r>
      <w:r w:rsidR="00533536" w:rsidRPr="00EC7AC1">
        <w:t xml:space="preserve">. </w:t>
      </w:r>
      <w:r w:rsidR="0098759B" w:rsidRPr="00EC7AC1">
        <w:t>Aquelas</w:t>
      </w:r>
      <w:r w:rsidR="00FB6668">
        <w:t xml:space="preserve"> </w:t>
      </w:r>
      <w:r w:rsidR="00B705DD" w:rsidRPr="00EC7AC1">
        <w:t xml:space="preserve">que </w:t>
      </w:r>
      <w:r w:rsidR="00E341CE" w:rsidRPr="00EC7AC1">
        <w:t>apresentaram p&lt;0,10</w:t>
      </w:r>
      <w:r w:rsidR="00B705DD" w:rsidRPr="00EC7AC1">
        <w:t xml:space="preserve"> na </w:t>
      </w:r>
      <w:r w:rsidRPr="00EC7AC1">
        <w:t xml:space="preserve">regressão linear simples </w:t>
      </w:r>
      <w:r w:rsidR="00B705DD" w:rsidRPr="00EC7AC1">
        <w:t>foram, posteriormente, incluídas no modelo multivariado. Tal inclusão foi feita utilizando</w:t>
      </w:r>
      <w:r w:rsidR="00FB6668">
        <w:t xml:space="preserve"> </w:t>
      </w:r>
      <w:r w:rsidRPr="00EC7AC1">
        <w:t xml:space="preserve">o </w:t>
      </w:r>
      <w:r w:rsidR="00E341CE" w:rsidRPr="00EC7AC1">
        <w:t xml:space="preserve">método </w:t>
      </w:r>
      <w:proofErr w:type="spellStart"/>
      <w:r w:rsidR="00E341CE" w:rsidRPr="00EC7AC1">
        <w:rPr>
          <w:i/>
        </w:rPr>
        <w:t>Enter</w:t>
      </w:r>
      <w:proofErr w:type="spellEnd"/>
      <w:r w:rsidR="00B705DD" w:rsidRPr="00EC7AC1">
        <w:t xml:space="preserve">. Para o modelo final multivariado, as variáveis que apresentaram p≤0,05 foram consideradas </w:t>
      </w:r>
      <w:r w:rsidRPr="00EC7AC1">
        <w:t xml:space="preserve">estatisticamente </w:t>
      </w:r>
      <w:r w:rsidR="00B705DD" w:rsidRPr="00EC7AC1">
        <w:t>significativas.</w:t>
      </w:r>
    </w:p>
    <w:p w:rsidR="0067100F" w:rsidRDefault="0067100F" w:rsidP="0067100F">
      <w:pPr>
        <w:spacing w:line="480" w:lineRule="auto"/>
        <w:ind w:right="23" w:firstLine="600"/>
        <w:jc w:val="both"/>
      </w:pPr>
    </w:p>
    <w:p w:rsidR="0067100F" w:rsidRDefault="0067100F" w:rsidP="0067100F">
      <w:pPr>
        <w:spacing w:line="480" w:lineRule="auto"/>
        <w:ind w:right="23" w:firstLine="600"/>
        <w:jc w:val="both"/>
      </w:pPr>
    </w:p>
    <w:p w:rsidR="00E43C61" w:rsidRPr="0067100F" w:rsidRDefault="000D7279" w:rsidP="0067100F">
      <w:pPr>
        <w:spacing w:line="480" w:lineRule="auto"/>
        <w:ind w:right="23" w:firstLine="600"/>
        <w:jc w:val="both"/>
      </w:pPr>
      <w:r>
        <w:lastRenderedPageBreak/>
        <w:t xml:space="preserve">3 </w:t>
      </w:r>
      <w:r w:rsidR="00E43C61" w:rsidRPr="000D7279">
        <w:rPr>
          <w:b/>
        </w:rPr>
        <w:t>RESULTADOS</w:t>
      </w:r>
    </w:p>
    <w:p w:rsidR="00E43C61" w:rsidRPr="00EC7AC1" w:rsidRDefault="00492B5B" w:rsidP="00193B24">
      <w:pPr>
        <w:spacing w:line="480" w:lineRule="auto"/>
        <w:ind w:right="23" w:firstLine="600"/>
        <w:jc w:val="both"/>
      </w:pPr>
      <w:r w:rsidRPr="00EC7AC1">
        <w:t>Setenta e quatro mulheres pa</w:t>
      </w:r>
      <w:r w:rsidR="00BB4B0B">
        <w:t xml:space="preserve">rticiparam do estudo, </w:t>
      </w:r>
      <w:r w:rsidRPr="00EC7AC1">
        <w:t>divididas em dois grupos:</w:t>
      </w:r>
      <w:r w:rsidR="00E43C61" w:rsidRPr="00EC7AC1">
        <w:t xml:space="preserve"> câncer (n=37) e controle (n=37). A idade</w:t>
      </w:r>
      <w:r w:rsidRPr="00EC7AC1">
        <w:t xml:space="preserve"> média das participantes foi</w:t>
      </w:r>
      <w:r w:rsidR="00E43C61" w:rsidRPr="00EC7AC1">
        <w:t xml:space="preserve"> 50,88 anos </w:t>
      </w:r>
      <w:r w:rsidRPr="00EC7AC1">
        <w:t>(mínimo=24 anos; máximo=85 anos, desvio-padrão=</w:t>
      </w:r>
      <w:r w:rsidR="00E43C61" w:rsidRPr="00EC7AC1">
        <w:t>12,97 anos</w:t>
      </w:r>
      <w:r w:rsidRPr="00EC7AC1">
        <w:t>) e o</w:t>
      </w:r>
      <w:r w:rsidR="00E43C61" w:rsidRPr="00EC7AC1">
        <w:t xml:space="preserve"> tempo</w:t>
      </w:r>
      <w:r w:rsidRPr="00EC7AC1">
        <w:t xml:space="preserve"> médio</w:t>
      </w:r>
      <w:r w:rsidR="00E43C61" w:rsidRPr="00EC7AC1">
        <w:t xml:space="preserve"> de conclusão do tratamento </w:t>
      </w:r>
      <w:r w:rsidRPr="00EC7AC1">
        <w:t>foi 36,78 meses (variando de três a 92 meses</w:t>
      </w:r>
      <w:r w:rsidR="00B5614C" w:rsidRPr="00EC7AC1">
        <w:t>, desvio-padrão=</w:t>
      </w:r>
      <w:r w:rsidR="00B5614C" w:rsidRPr="00EC7AC1">
        <w:rPr>
          <w:rFonts w:eastAsia="Calibri"/>
          <w:lang w:eastAsia="en-US"/>
        </w:rPr>
        <w:t>25,25 meses</w:t>
      </w:r>
      <w:r w:rsidRPr="00EC7AC1">
        <w:t>)</w:t>
      </w:r>
      <w:r w:rsidR="00045F40" w:rsidRPr="00EC7AC1">
        <w:t xml:space="preserve">, sendo que </w:t>
      </w:r>
      <w:r w:rsidR="00B87D5B" w:rsidRPr="00EC7AC1">
        <w:t>a maioria (59,5%)</w:t>
      </w:r>
      <w:r w:rsidR="00C66F61" w:rsidRPr="00EC7AC1">
        <w:t xml:space="preserve"> concl</w:t>
      </w:r>
      <w:r w:rsidR="00B87D5B" w:rsidRPr="00EC7AC1">
        <w:t>uiu</w:t>
      </w:r>
      <w:r w:rsidR="00C66F61" w:rsidRPr="00EC7AC1">
        <w:t xml:space="preserve"> o tratamento há menos de três anos</w:t>
      </w:r>
      <w:r w:rsidR="0067100F">
        <w:t xml:space="preserve"> da data de</w:t>
      </w:r>
      <w:r w:rsidR="00B87D5B" w:rsidRPr="00EC7AC1">
        <w:t xml:space="preserve"> coleta dos dados</w:t>
      </w:r>
      <w:r w:rsidRPr="00EC7AC1">
        <w:t>. Como mostra a tabela 1, a</w:t>
      </w:r>
      <w:r w:rsidR="00E43C61" w:rsidRPr="00EC7AC1">
        <w:t xml:space="preserve"> maioria das sobreviventes ao câncer teve tumor classificado </w:t>
      </w:r>
      <w:proofErr w:type="spellStart"/>
      <w:r w:rsidR="00E43C61" w:rsidRPr="00EC7AC1">
        <w:t>histol</w:t>
      </w:r>
      <w:r w:rsidRPr="00EC7AC1">
        <w:t>ogicamente</w:t>
      </w:r>
      <w:proofErr w:type="spellEnd"/>
      <w:r w:rsidRPr="00EC7AC1">
        <w:t xml:space="preserve"> como escamoso</w:t>
      </w:r>
      <w:r w:rsidR="00E43C61" w:rsidRPr="00EC7AC1">
        <w:t xml:space="preserve">; foi diagnosticada </w:t>
      </w:r>
      <w:r w:rsidRPr="00EC7AC1">
        <w:t>com estadiamento IB – FIGO; submetida a</w:t>
      </w:r>
      <w:r w:rsidR="00E43C61" w:rsidRPr="00EC7AC1">
        <w:t xml:space="preserve"> tratamento cirúrgico </w:t>
      </w:r>
      <w:r w:rsidRPr="00EC7AC1">
        <w:t>e radioterapia adjuvante, sem quimioterapia (51,4%).</w:t>
      </w:r>
    </w:p>
    <w:p w:rsidR="00E43C61" w:rsidRPr="00EC7AC1" w:rsidRDefault="00492B5B" w:rsidP="00193B24">
      <w:pPr>
        <w:spacing w:line="480" w:lineRule="auto"/>
        <w:ind w:right="23" w:firstLine="600"/>
        <w:jc w:val="both"/>
      </w:pPr>
      <w:r w:rsidRPr="00EC7AC1">
        <w:t>Os grupos foram semelhantes em relação à</w:t>
      </w:r>
      <w:r w:rsidR="00E43C61" w:rsidRPr="00EC7AC1">
        <w:t>s variáveis socioeconômicas e demográficas, exceto para a “situação conjugal” (</w:t>
      </w:r>
      <w:r w:rsidR="00E43C61" w:rsidRPr="00BD2FB9">
        <w:t>p</w:t>
      </w:r>
      <w:r w:rsidR="00464887" w:rsidRPr="00EC7AC1">
        <w:t>=</w:t>
      </w:r>
      <w:r w:rsidR="00846024" w:rsidRPr="00EC7AC1">
        <w:t>0,05), para a</w:t>
      </w:r>
      <w:r w:rsidR="00E43C61" w:rsidRPr="00EC7AC1">
        <w:t xml:space="preserve"> qual o grupo controle apresentou maior frequência de mulheres vivendo com companheiro</w:t>
      </w:r>
      <w:r w:rsidR="00461A05" w:rsidRPr="00EC7AC1">
        <w:t xml:space="preserve"> (Gcontrole=73%; Gcâncer</w:t>
      </w:r>
      <w:r w:rsidR="00173153" w:rsidRPr="00EC7AC1">
        <w:t>=41,4%)</w:t>
      </w:r>
      <w:r w:rsidR="00E43C61" w:rsidRPr="00EC7AC1">
        <w:t xml:space="preserve">. </w:t>
      </w:r>
      <w:r w:rsidRPr="00EC7AC1">
        <w:t>Quanto</w:t>
      </w:r>
      <w:r w:rsidR="00E43C61" w:rsidRPr="00EC7AC1">
        <w:t xml:space="preserve"> às variáveis psicossociais</w:t>
      </w:r>
      <w:r w:rsidR="00061CCE" w:rsidRPr="00EC7AC1">
        <w:t>, de suporte social</w:t>
      </w:r>
      <w:r w:rsidR="00E43C61" w:rsidRPr="00EC7AC1">
        <w:t xml:space="preserve"> e de hábitos de vida, </w:t>
      </w:r>
      <w:r w:rsidR="00464887" w:rsidRPr="00EC7AC1">
        <w:t>51,4% do grupo controle relatou suporte social do marido/companheiro, enquanto no grupo câncer, 32,4% apresentou tal apoio (</w:t>
      </w:r>
      <w:r w:rsidR="00464887" w:rsidRPr="00BD2FB9">
        <w:t>p=0,09</w:t>
      </w:r>
      <w:r w:rsidR="00464887" w:rsidRPr="00EC7AC1">
        <w:t xml:space="preserve">). O </w:t>
      </w:r>
      <w:r w:rsidR="00E43C61" w:rsidRPr="00EC7AC1">
        <w:t>“relacionamento com o marido/companheiro” foi diferente entre os grupos</w:t>
      </w:r>
      <w:r w:rsidR="00464887" w:rsidRPr="00EC7AC1">
        <w:t xml:space="preserve"> (</w:t>
      </w:r>
      <w:r w:rsidR="00464887" w:rsidRPr="00BD2FB9">
        <w:t>p=0,02</w:t>
      </w:r>
      <w:r w:rsidR="00464887" w:rsidRPr="00EC7AC1">
        <w:t>)</w:t>
      </w:r>
      <w:r w:rsidR="00E43C61" w:rsidRPr="00EC7AC1">
        <w:t>, sendo maior no grupo controle a frequência de mulheres que o consideravam como bom ou muito bom</w:t>
      </w:r>
      <w:r w:rsidR="00FB6668">
        <w:t xml:space="preserve"> </w:t>
      </w:r>
      <w:r w:rsidR="00D11DA7" w:rsidRPr="00EC7AC1">
        <w:t>(Gcontrole=93,1%; Gcâncer=63,2%)</w:t>
      </w:r>
      <w:r w:rsidR="00065B5B" w:rsidRPr="00EC7AC1">
        <w:t>. Além disso,</w:t>
      </w:r>
      <w:r w:rsidR="00061CCE" w:rsidRPr="00EC7AC1">
        <w:t xml:space="preserve"> o grupo câncer apresentou maior </w:t>
      </w:r>
      <w:r w:rsidR="004434ED" w:rsidRPr="00EC7AC1">
        <w:t>frequência</w:t>
      </w:r>
      <w:r w:rsidR="00061CCE" w:rsidRPr="00EC7AC1">
        <w:t xml:space="preserve"> de mulheres que relataram apoio social de líderes religiosos</w:t>
      </w:r>
      <w:r w:rsidR="00461A05" w:rsidRPr="00EC7AC1">
        <w:t xml:space="preserve"> (Gcâncer: 18,9%; Gcontrole: 2,7%, </w:t>
      </w:r>
      <w:r w:rsidR="00065B5B" w:rsidRPr="00BD2FB9">
        <w:t>p=</w:t>
      </w:r>
      <w:r w:rsidR="00061CCE" w:rsidRPr="00BD2FB9">
        <w:t>0,05</w:t>
      </w:r>
      <w:r w:rsidR="00461A05" w:rsidRPr="00EC7AC1">
        <w:t xml:space="preserve">) e de amigos (Gcâncer: 40,5%; Gcontrole: 21,6%), </w:t>
      </w:r>
      <w:r w:rsidR="00461A05" w:rsidRPr="00BD2FB9">
        <w:t>p=0,07</w:t>
      </w:r>
      <w:r w:rsidR="00461A05" w:rsidRPr="00EC7AC1">
        <w:t>)</w:t>
      </w:r>
      <w:r w:rsidR="00846024" w:rsidRPr="00EC7AC1">
        <w:t xml:space="preserve">. </w:t>
      </w:r>
      <w:r w:rsidRPr="00EC7AC1">
        <w:t>As</w:t>
      </w:r>
      <w:r w:rsidR="00FB6668">
        <w:t xml:space="preserve"> </w:t>
      </w:r>
      <w:r w:rsidR="00E43C61" w:rsidRPr="00EC7AC1">
        <w:t>variáveis relacionadas à saúde</w:t>
      </w:r>
      <w:r w:rsidR="00061CCE" w:rsidRPr="00EC7AC1">
        <w:t xml:space="preserve"> (tabagismo; consumo de bebida alcoólica; diagnóstico de alguma doença crônica, como hipertensão arterial, diabetes</w:t>
      </w:r>
      <w:r w:rsidR="00E43C61" w:rsidRPr="00EC7AC1">
        <w:t>,</w:t>
      </w:r>
      <w:r w:rsidR="00061CCE" w:rsidRPr="00EC7AC1">
        <w:t xml:space="preserve"> depressão; uso de medicamento de forma contínua) </w:t>
      </w:r>
      <w:r w:rsidRPr="00EC7AC1">
        <w:t xml:space="preserve">foram semelhantes </w:t>
      </w:r>
      <w:r w:rsidR="00E43C61" w:rsidRPr="00EC7AC1">
        <w:t>entre os</w:t>
      </w:r>
      <w:r w:rsidR="00846024" w:rsidRPr="00EC7AC1">
        <w:t xml:space="preserve"> grupos</w:t>
      </w:r>
      <w:r w:rsidR="00E43C61" w:rsidRPr="00EC7AC1">
        <w:t>.</w:t>
      </w:r>
    </w:p>
    <w:p w:rsidR="00BB4B0B" w:rsidRDefault="007E759F" w:rsidP="00193B24">
      <w:pPr>
        <w:spacing w:line="480" w:lineRule="auto"/>
        <w:ind w:right="23" w:firstLine="600"/>
        <w:jc w:val="both"/>
      </w:pPr>
      <w:r w:rsidRPr="00EC7AC1">
        <w:lastRenderedPageBreak/>
        <w:t>Algumas v</w:t>
      </w:r>
      <w:r w:rsidR="00E43C61" w:rsidRPr="00EC7AC1">
        <w:t xml:space="preserve">ariáveis, que no grupo câncer poderiam estar associadas a efeitos adversos do tratamento, foram </w:t>
      </w:r>
      <w:r w:rsidR="00193B24">
        <w:t>mais frequentes neste grupo</w:t>
      </w:r>
      <w:r w:rsidRPr="00EC7AC1">
        <w:t xml:space="preserve">: </w:t>
      </w:r>
      <w:r w:rsidR="00E43C61" w:rsidRPr="00EC7AC1">
        <w:t>menopausa;</w:t>
      </w:r>
      <w:r w:rsidR="00BB7E1F" w:rsidRPr="00EC7AC1">
        <w:t xml:space="preserve"> “fogachos”;</w:t>
      </w:r>
      <w:r w:rsidR="00FB6668">
        <w:t xml:space="preserve"> </w:t>
      </w:r>
      <w:r w:rsidR="00BB7E1F" w:rsidRPr="00EC7AC1">
        <w:t xml:space="preserve">estenose ou encurtamento vaginais; </w:t>
      </w:r>
      <w:r w:rsidR="00E43C61" w:rsidRPr="00EC7AC1">
        <w:t xml:space="preserve">sangramento durante ou após a relação sexual; aumento da frequência, urgência, incontinência e retenção urinárias; </w:t>
      </w:r>
      <w:r w:rsidR="00522ABF" w:rsidRPr="00EC7AC1">
        <w:t>diarreia</w:t>
      </w:r>
      <w:r w:rsidR="00E43C61" w:rsidRPr="00EC7AC1">
        <w:t xml:space="preserve">, urgência e incontinência fecais; dor e muco anais; </w:t>
      </w:r>
      <w:proofErr w:type="spellStart"/>
      <w:r w:rsidR="00E43C61" w:rsidRPr="00EC7AC1">
        <w:t>enterorragia</w:t>
      </w:r>
      <w:proofErr w:type="spellEnd"/>
      <w:r w:rsidR="00E43C61" w:rsidRPr="00EC7AC1">
        <w:t xml:space="preserve"> e linfedema em membros inferiores</w:t>
      </w:r>
      <w:r w:rsidR="00A9237F">
        <w:t xml:space="preserve"> </w:t>
      </w:r>
      <w:r w:rsidRPr="00EC7AC1">
        <w:t>(tabela 2)</w:t>
      </w:r>
      <w:r w:rsidR="00E43C61" w:rsidRPr="00EC7AC1">
        <w:t xml:space="preserve">. A maioria das mulheres do grupo câncer (64,9%) </w:t>
      </w:r>
      <w:r w:rsidR="00464887" w:rsidRPr="00EC7AC1">
        <w:t xml:space="preserve">apresentava </w:t>
      </w:r>
      <w:r w:rsidR="00E43C61" w:rsidRPr="00EC7AC1">
        <w:t>menop</w:t>
      </w:r>
      <w:r w:rsidR="00846024" w:rsidRPr="00EC7AC1">
        <w:t>ausa relacionada ao tratamento</w:t>
      </w:r>
      <w:r w:rsidR="00E43C61" w:rsidRPr="00EC7AC1">
        <w:t xml:space="preserve">. </w:t>
      </w:r>
    </w:p>
    <w:p w:rsidR="00BB4B0B" w:rsidRPr="00EC7AC1" w:rsidRDefault="00BB4B0B" w:rsidP="00BB4B0B">
      <w:pPr>
        <w:spacing w:line="480" w:lineRule="auto"/>
        <w:ind w:right="23" w:firstLine="600"/>
        <w:jc w:val="both"/>
      </w:pPr>
      <w:r w:rsidRPr="00EC7AC1">
        <w:t xml:space="preserve">Em </w:t>
      </w:r>
      <w:r w:rsidRPr="00BB4B0B">
        <w:t>relação à função sexual, a maioria das mulheres no grupo câncer relatou que o câncer interferiu na vida sexual (59,5%) e que não era sexualmente ativa (59,5%). Das mulheres sexualmente ativas, 80% apresentavam disfunção sexual no grupo câncer, enquanto este percentual foi de 7,1% no grupo controle (p&lt;0,01). Não houve diferença quanto à frequência sexual entre os grupos. Além disso, o grupo câncer apresentou menor escore total no questionário FSFI (Gcâncer: média</w:t>
      </w:r>
      <w:r w:rsidRPr="00EC7AC1">
        <w:t>=21,72, desvio-p</w:t>
      </w:r>
      <w:r>
        <w:t>adrão=7,40; Gcontrole: média=30,76; desvio-padrão=2,95;</w:t>
      </w:r>
      <w:r w:rsidRPr="00EC7AC1">
        <w:t xml:space="preserve"> p&lt;0.01)</w:t>
      </w:r>
    </w:p>
    <w:p w:rsidR="002A76FE" w:rsidRDefault="00BB4B0B" w:rsidP="00770BA8">
      <w:pPr>
        <w:spacing w:line="480" w:lineRule="auto"/>
        <w:ind w:right="23" w:firstLine="600"/>
        <w:jc w:val="both"/>
      </w:pPr>
      <w:r>
        <w:t xml:space="preserve">A qualidade de vida </w:t>
      </w:r>
      <w:r w:rsidR="00E43C61" w:rsidRPr="00EC7AC1">
        <w:t xml:space="preserve">foi </w:t>
      </w:r>
      <w:r w:rsidR="00A76ED7" w:rsidRPr="00EC7AC1">
        <w:t>diferente</w:t>
      </w:r>
      <w:r w:rsidR="00E43C61" w:rsidRPr="00EC7AC1">
        <w:t xml:space="preserve"> entre os grupos nos domínios “Físico” e “Relações Sociais”, sendo estes superiores no grupo controle (</w:t>
      </w:r>
      <w:r w:rsidR="00A76ED7" w:rsidRPr="00BD2FB9">
        <w:t>p=</w:t>
      </w:r>
      <w:r w:rsidR="00E43C61" w:rsidRPr="00BD2FB9">
        <w:t>0,03 e 0,01</w:t>
      </w:r>
      <w:r w:rsidR="00B65657" w:rsidRPr="00EC7AC1">
        <w:t>, respectivamente) – Tabela 3</w:t>
      </w:r>
      <w:r w:rsidR="00E43C61" w:rsidRPr="00EC7AC1">
        <w:t xml:space="preserve">. </w:t>
      </w:r>
      <w:r w:rsidR="007B1E43" w:rsidRPr="00EC7AC1">
        <w:t>Na regressão linear simples, apresentaram associação</w:t>
      </w:r>
      <w:r w:rsidR="00FB6668">
        <w:t xml:space="preserve"> </w:t>
      </w:r>
      <w:r w:rsidR="007B1E43" w:rsidRPr="00EC7AC1">
        <w:t xml:space="preserve">com o domínio </w:t>
      </w:r>
      <w:r w:rsidR="00FC097C" w:rsidRPr="00EC7AC1">
        <w:t>“</w:t>
      </w:r>
      <w:r w:rsidR="007B1E43" w:rsidRPr="00EC7AC1">
        <w:t>Físico</w:t>
      </w:r>
      <w:r w:rsidR="00FC097C" w:rsidRPr="00EC7AC1">
        <w:t>”</w:t>
      </w:r>
      <w:r w:rsidR="0098759B" w:rsidRPr="00EC7AC1">
        <w:t xml:space="preserve"> as</w:t>
      </w:r>
      <w:r w:rsidR="00FB6668">
        <w:t xml:space="preserve"> </w:t>
      </w:r>
      <w:r w:rsidR="007B1E43" w:rsidRPr="00EC7AC1">
        <w:t>variáveis</w:t>
      </w:r>
      <w:r w:rsidR="00FB6668">
        <w:t xml:space="preserve"> </w:t>
      </w:r>
      <w:r w:rsidR="007B1E43" w:rsidRPr="00EC7AC1">
        <w:t>grupo (p=0,03)</w:t>
      </w:r>
      <w:r w:rsidR="004E034C" w:rsidRPr="00EC7AC1">
        <w:t>,</w:t>
      </w:r>
      <w:r w:rsidR="00FC097C" w:rsidRPr="00EC7AC1">
        <w:t xml:space="preserve"> situação conjugal (p=0,07)</w:t>
      </w:r>
      <w:r w:rsidR="004E034C" w:rsidRPr="00EC7AC1">
        <w:t>,</w:t>
      </w:r>
      <w:r w:rsidR="00FC097C" w:rsidRPr="00EC7AC1">
        <w:t xml:space="preserve"> dor/ardência ao urinar (p=0,09)</w:t>
      </w:r>
      <w:r w:rsidR="004E034C" w:rsidRPr="00EC7AC1">
        <w:t>,</w:t>
      </w:r>
      <w:r w:rsidR="00FC097C" w:rsidRPr="00EC7AC1">
        <w:t xml:space="preserve"> incontinência urinária (p=0,06)</w:t>
      </w:r>
      <w:r w:rsidR="004E034C" w:rsidRPr="00EC7AC1">
        <w:t xml:space="preserve">, </w:t>
      </w:r>
      <w:r w:rsidR="0070607D" w:rsidRPr="00EC7AC1">
        <w:t>urgência urinária (p=0,02)</w:t>
      </w:r>
      <w:r w:rsidR="004E034C" w:rsidRPr="00EC7AC1">
        <w:t>,</w:t>
      </w:r>
      <w:r w:rsidR="0070607D" w:rsidRPr="00EC7AC1">
        <w:t xml:space="preserve"> retenção urinária (p=0,006)</w:t>
      </w:r>
      <w:r w:rsidR="004E034C" w:rsidRPr="00EC7AC1">
        <w:t>,</w:t>
      </w:r>
      <w:r w:rsidR="0070607D" w:rsidRPr="00EC7AC1">
        <w:t xml:space="preserve"> urgência fecal (p=0,01)</w:t>
      </w:r>
      <w:r w:rsidR="004E034C" w:rsidRPr="00EC7AC1">
        <w:t>,</w:t>
      </w:r>
      <w:r w:rsidR="00FB6668">
        <w:t xml:space="preserve"> </w:t>
      </w:r>
      <w:r w:rsidR="0070607D" w:rsidRPr="00EC7AC1">
        <w:t>linfedema (p=0,001)</w:t>
      </w:r>
      <w:r w:rsidR="004E034C" w:rsidRPr="00EC7AC1">
        <w:t>,</w:t>
      </w:r>
      <w:r w:rsidR="00D8668E">
        <w:t xml:space="preserve"> </w:t>
      </w:r>
      <w:r w:rsidR="00FC097C" w:rsidRPr="00EC7AC1">
        <w:t>atividade sexual (p=0,07) e</w:t>
      </w:r>
      <w:r w:rsidR="0070607D" w:rsidRPr="00EC7AC1">
        <w:t xml:space="preserve"> escore total do FSFI (p=0,02). E</w:t>
      </w:r>
      <w:r w:rsidR="00D3647F" w:rsidRPr="00EC7AC1">
        <w:t>,</w:t>
      </w:r>
      <w:r w:rsidR="0070607D" w:rsidRPr="00EC7AC1">
        <w:t xml:space="preserve"> com o domínio </w:t>
      </w:r>
      <w:r w:rsidR="00FC097C" w:rsidRPr="00EC7AC1">
        <w:t>“</w:t>
      </w:r>
      <w:r w:rsidR="0070607D" w:rsidRPr="00EC7AC1">
        <w:t>Relações Sociais</w:t>
      </w:r>
      <w:r w:rsidR="00FC097C" w:rsidRPr="00EC7AC1">
        <w:t>”</w:t>
      </w:r>
      <w:r w:rsidR="004E034C" w:rsidRPr="00EC7AC1">
        <w:t>,</w:t>
      </w:r>
      <w:r w:rsidR="0070607D" w:rsidRPr="00EC7AC1">
        <w:t xml:space="preserve"> grupo (p=0,02)</w:t>
      </w:r>
      <w:r w:rsidR="004E034C" w:rsidRPr="00EC7AC1">
        <w:t>,</w:t>
      </w:r>
      <w:r w:rsidR="00987B49">
        <w:t xml:space="preserve"> </w:t>
      </w:r>
      <w:r w:rsidR="0070607D" w:rsidRPr="00EC7AC1">
        <w:t>amigo como suporte social (p=0,002)</w:t>
      </w:r>
      <w:r w:rsidR="004E034C" w:rsidRPr="00EC7AC1">
        <w:t>,</w:t>
      </w:r>
      <w:r w:rsidR="00987B49">
        <w:t xml:space="preserve"> </w:t>
      </w:r>
      <w:r w:rsidR="0070607D" w:rsidRPr="00EC7AC1">
        <w:t>fogachos (p=0,005)</w:t>
      </w:r>
      <w:r w:rsidR="004E034C" w:rsidRPr="00EC7AC1">
        <w:t>,</w:t>
      </w:r>
      <w:r w:rsidR="0070607D" w:rsidRPr="00EC7AC1">
        <w:t xml:space="preserve"> estenose/encurtamento </w:t>
      </w:r>
      <w:r w:rsidR="007E759F" w:rsidRPr="00EC7AC1">
        <w:t>vaginais (p&lt;0,001</w:t>
      </w:r>
      <w:r w:rsidR="0070607D" w:rsidRPr="00EC7AC1">
        <w:t>)</w:t>
      </w:r>
      <w:r w:rsidR="004E034C" w:rsidRPr="00EC7AC1">
        <w:t>,</w:t>
      </w:r>
      <w:r w:rsidR="0070607D" w:rsidRPr="00EC7AC1">
        <w:t xml:space="preserve"> dor/ardência ao urinar (p=0,02)</w:t>
      </w:r>
      <w:r w:rsidR="004E034C" w:rsidRPr="00EC7AC1">
        <w:t>,</w:t>
      </w:r>
      <w:r w:rsidR="0070607D" w:rsidRPr="00EC7AC1">
        <w:t xml:space="preserve"> aumento da </w:t>
      </w:r>
      <w:r w:rsidR="004434ED" w:rsidRPr="00EC7AC1">
        <w:t>frequência</w:t>
      </w:r>
      <w:r w:rsidR="0070607D" w:rsidRPr="00EC7AC1">
        <w:t xml:space="preserve"> urinária (p=0,003)</w:t>
      </w:r>
      <w:r w:rsidR="004E034C" w:rsidRPr="00EC7AC1">
        <w:t>,</w:t>
      </w:r>
      <w:r w:rsidR="0070607D" w:rsidRPr="00EC7AC1">
        <w:t xml:space="preserve"> urgência urinária (0,02)</w:t>
      </w:r>
      <w:r w:rsidR="004E034C" w:rsidRPr="00EC7AC1">
        <w:t>,</w:t>
      </w:r>
      <w:r w:rsidR="0070607D" w:rsidRPr="00EC7AC1">
        <w:t xml:space="preserve"> incontinência urinária (p=0,05)</w:t>
      </w:r>
      <w:r w:rsidR="004E034C" w:rsidRPr="00EC7AC1">
        <w:t>,</w:t>
      </w:r>
      <w:r w:rsidR="0070607D" w:rsidRPr="00EC7AC1">
        <w:t xml:space="preserve"> </w:t>
      </w:r>
      <w:r w:rsidR="0070607D" w:rsidRPr="00EC7AC1">
        <w:lastRenderedPageBreak/>
        <w:t>diarreia (p=0,003)</w:t>
      </w:r>
      <w:r w:rsidR="004E034C" w:rsidRPr="00EC7AC1">
        <w:t>,</w:t>
      </w:r>
      <w:r w:rsidR="0070607D" w:rsidRPr="00EC7AC1">
        <w:t xml:space="preserve"> urgência fecal (0,003)</w:t>
      </w:r>
      <w:r w:rsidR="004E034C" w:rsidRPr="00EC7AC1">
        <w:t>,</w:t>
      </w:r>
      <w:r w:rsidR="0070607D" w:rsidRPr="00EC7AC1">
        <w:t xml:space="preserve"> incontinência fecal (p=0,04)</w:t>
      </w:r>
      <w:r w:rsidR="004E034C" w:rsidRPr="00EC7AC1">
        <w:t>,</w:t>
      </w:r>
      <w:r w:rsidR="0070607D" w:rsidRPr="00EC7AC1">
        <w:t xml:space="preserve"> retenção urinária (p=0,04) e escore total do FSFI (</w:t>
      </w:r>
      <w:r w:rsidR="007E759F" w:rsidRPr="00EC7AC1">
        <w:t>p&lt;0,001</w:t>
      </w:r>
      <w:r w:rsidR="0070607D" w:rsidRPr="00EC7AC1">
        <w:t>).</w:t>
      </w:r>
      <w:r w:rsidR="0067100F">
        <w:t xml:space="preserve"> </w:t>
      </w:r>
      <w:r w:rsidR="0070607D" w:rsidRPr="00EC7AC1">
        <w:t>Essas vari</w:t>
      </w:r>
      <w:r w:rsidR="00D3647F" w:rsidRPr="00EC7AC1">
        <w:t>áveis</w:t>
      </w:r>
      <w:r w:rsidR="0070607D" w:rsidRPr="00EC7AC1">
        <w:t xml:space="preserve"> foram, então, incluídas no modelo de regressão linear </w:t>
      </w:r>
      <w:r w:rsidR="004E034C" w:rsidRPr="00EC7AC1">
        <w:t>multivariada</w:t>
      </w:r>
      <w:r w:rsidR="00FB6668">
        <w:t xml:space="preserve"> </w:t>
      </w:r>
      <w:r w:rsidR="0070607D" w:rsidRPr="00EC7AC1">
        <w:t>para cada domínio (Físico e Relações Sociais)</w:t>
      </w:r>
      <w:r w:rsidR="0067100F">
        <w:t xml:space="preserve">. </w:t>
      </w:r>
      <w:r w:rsidR="00B65657" w:rsidRPr="00EC7AC1">
        <w:t>A tabela 4</w:t>
      </w:r>
      <w:r w:rsidR="00FB6668">
        <w:t xml:space="preserve"> </w:t>
      </w:r>
      <w:r w:rsidR="004E034C" w:rsidRPr="00EC7AC1">
        <w:t>descreve</w:t>
      </w:r>
      <w:r w:rsidR="00987B49">
        <w:t xml:space="preserve"> </w:t>
      </w:r>
      <w:r w:rsidR="00D41364" w:rsidRPr="00EC7AC1">
        <w:t>as variáveis que permaneceram no modelo final.</w:t>
      </w:r>
    </w:p>
    <w:p w:rsidR="008C39E9" w:rsidRDefault="008C39E9" w:rsidP="008C39E9">
      <w:pPr>
        <w:tabs>
          <w:tab w:val="center" w:pos="4003"/>
        </w:tabs>
        <w:spacing w:line="360" w:lineRule="auto"/>
        <w:rPr>
          <w:lang w:eastAsia="en-US"/>
        </w:rPr>
      </w:pPr>
    </w:p>
    <w:p w:rsidR="008C39E9" w:rsidRPr="00EC7AC1" w:rsidRDefault="008C39E9" w:rsidP="000D7279">
      <w:pPr>
        <w:tabs>
          <w:tab w:val="center" w:pos="4003"/>
        </w:tabs>
        <w:spacing w:line="360" w:lineRule="auto"/>
        <w:jc w:val="center"/>
        <w:rPr>
          <w:bCs/>
          <w:lang w:eastAsia="en-US"/>
        </w:rPr>
      </w:pPr>
      <w:r w:rsidRPr="00EC7AC1">
        <w:rPr>
          <w:lang w:eastAsia="en-US"/>
        </w:rPr>
        <w:t xml:space="preserve">Tabela 1 - Descrição das variáveis </w:t>
      </w:r>
      <w:r w:rsidRPr="00EC7AC1">
        <w:rPr>
          <w:bCs/>
          <w:lang w:eastAsia="en-US"/>
        </w:rPr>
        <w:t>clínicas, terapêuticas e médicas das mulheres do grupo câncer.</w:t>
      </w:r>
    </w:p>
    <w:tbl>
      <w:tblPr>
        <w:tblW w:w="7230" w:type="dxa"/>
        <w:jc w:val="center"/>
        <w:tblBorders>
          <w:top w:val="single" w:sz="12" w:space="0" w:color="auto"/>
          <w:bottom w:val="single" w:sz="12" w:space="0" w:color="auto"/>
        </w:tblBorders>
        <w:tblLook w:val="04A0" w:firstRow="1" w:lastRow="0" w:firstColumn="1" w:lastColumn="0" w:noHBand="0" w:noVBand="1"/>
      </w:tblPr>
      <w:tblGrid>
        <w:gridCol w:w="4820"/>
        <w:gridCol w:w="2410"/>
      </w:tblGrid>
      <w:tr w:rsidR="008C39E9" w:rsidRPr="00EC7AC1" w:rsidTr="00FB6668">
        <w:trPr>
          <w:trHeight w:val="481"/>
          <w:jc w:val="center"/>
        </w:trPr>
        <w:tc>
          <w:tcPr>
            <w:tcW w:w="4820" w:type="dxa"/>
            <w:tcBorders>
              <w:bottom w:val="single" w:sz="4" w:space="0" w:color="auto"/>
            </w:tcBorders>
            <w:vAlign w:val="center"/>
          </w:tcPr>
          <w:p w:rsidR="008C39E9" w:rsidRPr="00FB6668" w:rsidRDefault="008C39E9" w:rsidP="00FB6668">
            <w:pPr>
              <w:rPr>
                <w:rFonts w:eastAsia="Calibri"/>
                <w:lang w:eastAsia="en-US"/>
              </w:rPr>
            </w:pPr>
            <w:r w:rsidRPr="00FB6668">
              <w:rPr>
                <w:rFonts w:eastAsia="Calibri"/>
                <w:lang w:eastAsia="en-US"/>
              </w:rPr>
              <w:t>Variáveis</w:t>
            </w:r>
          </w:p>
        </w:tc>
        <w:tc>
          <w:tcPr>
            <w:tcW w:w="2410" w:type="dxa"/>
            <w:tcBorders>
              <w:bottom w:val="single" w:sz="4" w:space="0" w:color="auto"/>
            </w:tcBorders>
            <w:vAlign w:val="center"/>
          </w:tcPr>
          <w:p w:rsidR="008C39E9" w:rsidRPr="00FB6668" w:rsidRDefault="008C39E9" w:rsidP="00FB6668">
            <w:pPr>
              <w:jc w:val="center"/>
              <w:rPr>
                <w:rFonts w:eastAsia="Calibri"/>
                <w:lang w:eastAsia="en-US"/>
              </w:rPr>
            </w:pPr>
            <w:r w:rsidRPr="00FB6668">
              <w:rPr>
                <w:rFonts w:eastAsia="Calibri"/>
                <w:lang w:eastAsia="en-US"/>
              </w:rPr>
              <w:t>n (%)</w:t>
            </w:r>
          </w:p>
        </w:tc>
      </w:tr>
      <w:tr w:rsidR="008C39E9" w:rsidRPr="00EC7AC1" w:rsidTr="00FB6668">
        <w:trPr>
          <w:jc w:val="center"/>
        </w:trPr>
        <w:tc>
          <w:tcPr>
            <w:tcW w:w="4820" w:type="dxa"/>
            <w:vAlign w:val="center"/>
          </w:tcPr>
          <w:p w:rsidR="008C39E9" w:rsidRPr="00EC7AC1" w:rsidRDefault="008C39E9" w:rsidP="00FB6668">
            <w:pPr>
              <w:spacing w:before="240"/>
              <w:rPr>
                <w:rFonts w:eastAsia="Calibri"/>
                <w:lang w:eastAsia="en-US"/>
              </w:rPr>
            </w:pPr>
            <w:r w:rsidRPr="00EC7AC1">
              <w:rPr>
                <w:rFonts w:eastAsia="Calibri"/>
                <w:lang w:eastAsia="en-US"/>
              </w:rPr>
              <w:t>Histologia</w:t>
            </w:r>
          </w:p>
          <w:p w:rsidR="008C39E9" w:rsidRPr="00EC7AC1" w:rsidRDefault="008C39E9" w:rsidP="00FB6668">
            <w:pPr>
              <w:rPr>
                <w:rFonts w:eastAsia="Calibri"/>
                <w:lang w:eastAsia="en-US"/>
              </w:rPr>
            </w:pPr>
            <w:r w:rsidRPr="00EC7AC1">
              <w:rPr>
                <w:rFonts w:eastAsia="Calibri"/>
                <w:lang w:eastAsia="en-US"/>
              </w:rPr>
              <w:t xml:space="preserve">   Escamoso </w:t>
            </w:r>
          </w:p>
          <w:p w:rsidR="008C39E9" w:rsidRPr="00EC7AC1" w:rsidRDefault="008C39E9" w:rsidP="00FB6668">
            <w:pPr>
              <w:rPr>
                <w:rFonts w:eastAsia="Calibri"/>
                <w:lang w:eastAsia="en-US"/>
              </w:rPr>
            </w:pPr>
            <w:proofErr w:type="spellStart"/>
            <w:r w:rsidRPr="00EC7AC1">
              <w:rPr>
                <w:rFonts w:eastAsia="Calibri"/>
                <w:lang w:eastAsia="en-US"/>
              </w:rPr>
              <w:t>Adenocarcinoma</w:t>
            </w:r>
            <w:proofErr w:type="spellEnd"/>
          </w:p>
        </w:tc>
        <w:tc>
          <w:tcPr>
            <w:tcW w:w="2410" w:type="dxa"/>
            <w:vAlign w:val="center"/>
          </w:tcPr>
          <w:p w:rsidR="008C39E9" w:rsidRPr="00EC7AC1" w:rsidRDefault="008C39E9" w:rsidP="00FB6668">
            <w:pPr>
              <w:rPr>
                <w:rFonts w:eastAsia="Calibri"/>
                <w:lang w:eastAsia="en-US"/>
              </w:rPr>
            </w:pPr>
          </w:p>
          <w:p w:rsidR="008C39E9" w:rsidRPr="00EC7AC1" w:rsidRDefault="008C39E9" w:rsidP="00FB6668">
            <w:pPr>
              <w:jc w:val="center"/>
              <w:rPr>
                <w:rFonts w:eastAsia="Calibri"/>
                <w:lang w:eastAsia="en-US"/>
              </w:rPr>
            </w:pPr>
            <w:r w:rsidRPr="00EC7AC1">
              <w:rPr>
                <w:rFonts w:eastAsia="Calibri"/>
                <w:lang w:eastAsia="en-US"/>
              </w:rPr>
              <w:t>29 (82,9)</w:t>
            </w:r>
          </w:p>
          <w:p w:rsidR="008C39E9" w:rsidRPr="00EC7AC1" w:rsidRDefault="008C39E9" w:rsidP="00FB6668">
            <w:pPr>
              <w:jc w:val="center"/>
              <w:rPr>
                <w:rFonts w:eastAsia="Calibri"/>
                <w:lang w:eastAsia="en-US"/>
              </w:rPr>
            </w:pPr>
            <w:r w:rsidRPr="00EC7AC1">
              <w:rPr>
                <w:rFonts w:eastAsia="Calibri"/>
                <w:lang w:eastAsia="en-US"/>
              </w:rPr>
              <w:t>6 (17,1)</w:t>
            </w:r>
          </w:p>
        </w:tc>
      </w:tr>
      <w:tr w:rsidR="008C39E9" w:rsidRPr="00EC7AC1" w:rsidTr="00FB6668">
        <w:trPr>
          <w:jc w:val="center"/>
        </w:trPr>
        <w:tc>
          <w:tcPr>
            <w:tcW w:w="4820" w:type="dxa"/>
            <w:vAlign w:val="center"/>
          </w:tcPr>
          <w:p w:rsidR="008C39E9" w:rsidRPr="00EC7AC1" w:rsidRDefault="008C39E9" w:rsidP="00FB6668">
            <w:pPr>
              <w:rPr>
                <w:rFonts w:eastAsia="Calibri"/>
                <w:lang w:eastAsia="en-US"/>
              </w:rPr>
            </w:pPr>
          </w:p>
          <w:p w:rsidR="008C39E9" w:rsidRPr="00EC7AC1" w:rsidRDefault="008C39E9" w:rsidP="00FB6668">
            <w:pPr>
              <w:rPr>
                <w:rFonts w:eastAsia="Calibri"/>
                <w:lang w:eastAsia="en-US"/>
              </w:rPr>
            </w:pPr>
            <w:r w:rsidRPr="00EC7AC1">
              <w:rPr>
                <w:rFonts w:eastAsia="Calibri"/>
                <w:lang w:eastAsia="en-US"/>
              </w:rPr>
              <w:t>Estadiamento (FIGO)</w:t>
            </w:r>
          </w:p>
          <w:p w:rsidR="008C39E9" w:rsidRPr="00EC7AC1" w:rsidRDefault="008C39E9" w:rsidP="00FB6668">
            <w:pPr>
              <w:rPr>
                <w:rFonts w:eastAsia="Calibri"/>
                <w:lang w:eastAsia="en-US"/>
              </w:rPr>
            </w:pPr>
            <w:r w:rsidRPr="00EC7AC1">
              <w:rPr>
                <w:rFonts w:eastAsia="Calibri"/>
                <w:lang w:eastAsia="en-US"/>
              </w:rPr>
              <w:t xml:space="preserve">   IA</w:t>
            </w:r>
          </w:p>
          <w:p w:rsidR="008C39E9" w:rsidRPr="00EC7AC1" w:rsidRDefault="008C39E9" w:rsidP="00FB6668">
            <w:pPr>
              <w:rPr>
                <w:rFonts w:eastAsia="Calibri"/>
                <w:lang w:eastAsia="en-US"/>
              </w:rPr>
            </w:pPr>
            <w:r w:rsidRPr="00EC7AC1">
              <w:rPr>
                <w:rFonts w:eastAsia="Calibri"/>
                <w:lang w:eastAsia="en-US"/>
              </w:rPr>
              <w:t xml:space="preserve">   IB</w:t>
            </w:r>
          </w:p>
          <w:p w:rsidR="008C39E9" w:rsidRPr="00EC7AC1" w:rsidRDefault="008C39E9" w:rsidP="00FB6668">
            <w:pPr>
              <w:rPr>
                <w:rFonts w:eastAsia="Calibri"/>
                <w:lang w:eastAsia="en-US"/>
              </w:rPr>
            </w:pPr>
            <w:r w:rsidRPr="00EC7AC1">
              <w:rPr>
                <w:rFonts w:eastAsia="Calibri"/>
                <w:lang w:eastAsia="en-US"/>
              </w:rPr>
              <w:t xml:space="preserve">   IIA</w:t>
            </w:r>
          </w:p>
          <w:p w:rsidR="008C39E9" w:rsidRPr="00EC7AC1" w:rsidRDefault="008C39E9" w:rsidP="00FB6668">
            <w:pPr>
              <w:rPr>
                <w:rFonts w:eastAsia="Calibri"/>
                <w:lang w:eastAsia="en-US"/>
              </w:rPr>
            </w:pPr>
            <w:r w:rsidRPr="00EC7AC1">
              <w:rPr>
                <w:rFonts w:eastAsia="Calibri"/>
                <w:lang w:eastAsia="en-US"/>
              </w:rPr>
              <w:t xml:space="preserve">   IIB</w:t>
            </w:r>
          </w:p>
          <w:p w:rsidR="008C39E9" w:rsidRPr="00EC7AC1" w:rsidRDefault="008C39E9" w:rsidP="00FB6668">
            <w:pPr>
              <w:rPr>
                <w:rFonts w:eastAsia="Calibri"/>
                <w:lang w:eastAsia="en-US"/>
              </w:rPr>
            </w:pPr>
            <w:r w:rsidRPr="00EC7AC1">
              <w:rPr>
                <w:rFonts w:eastAsia="Calibri"/>
                <w:lang w:eastAsia="en-US"/>
              </w:rPr>
              <w:t xml:space="preserve">   IIIA</w:t>
            </w:r>
          </w:p>
          <w:p w:rsidR="008C39E9" w:rsidRPr="00EC7AC1" w:rsidRDefault="008C39E9" w:rsidP="00FB6668">
            <w:pPr>
              <w:rPr>
                <w:rFonts w:eastAsia="Calibri"/>
                <w:lang w:eastAsia="en-US"/>
              </w:rPr>
            </w:pPr>
            <w:r w:rsidRPr="00EC7AC1">
              <w:rPr>
                <w:rFonts w:eastAsia="Calibri"/>
                <w:lang w:eastAsia="en-US"/>
              </w:rPr>
              <w:t xml:space="preserve">   IIIB</w:t>
            </w:r>
          </w:p>
          <w:p w:rsidR="008C39E9" w:rsidRPr="00EC7AC1" w:rsidRDefault="008C39E9" w:rsidP="00FB6668">
            <w:pPr>
              <w:rPr>
                <w:rFonts w:eastAsia="Calibri"/>
                <w:lang w:eastAsia="en-US"/>
              </w:rPr>
            </w:pPr>
            <w:r w:rsidRPr="00EC7AC1">
              <w:rPr>
                <w:rFonts w:eastAsia="Calibri"/>
                <w:lang w:eastAsia="en-US"/>
              </w:rPr>
              <w:t xml:space="preserve">   IVA</w:t>
            </w:r>
          </w:p>
        </w:tc>
        <w:tc>
          <w:tcPr>
            <w:tcW w:w="2410" w:type="dxa"/>
            <w:vAlign w:val="center"/>
          </w:tcPr>
          <w:p w:rsidR="008C39E9" w:rsidRPr="00EC7AC1" w:rsidRDefault="008C39E9" w:rsidP="00FB6668">
            <w:pPr>
              <w:jc w:val="center"/>
              <w:rPr>
                <w:rFonts w:eastAsia="Calibri"/>
                <w:lang w:eastAsia="en-US"/>
              </w:rPr>
            </w:pPr>
          </w:p>
          <w:p w:rsidR="008C39E9" w:rsidRPr="00EC7AC1" w:rsidRDefault="008C39E9" w:rsidP="00FB6668">
            <w:pPr>
              <w:jc w:val="center"/>
              <w:rPr>
                <w:rFonts w:eastAsia="Calibri"/>
                <w:lang w:eastAsia="en-US"/>
              </w:rPr>
            </w:pPr>
          </w:p>
          <w:p w:rsidR="008C39E9" w:rsidRPr="00EC7AC1" w:rsidRDefault="008C39E9" w:rsidP="00FB6668">
            <w:pPr>
              <w:jc w:val="center"/>
              <w:rPr>
                <w:rFonts w:eastAsia="Calibri"/>
                <w:lang w:eastAsia="en-US"/>
              </w:rPr>
            </w:pPr>
            <w:r w:rsidRPr="00EC7AC1">
              <w:rPr>
                <w:rFonts w:eastAsia="Calibri"/>
                <w:lang w:eastAsia="en-US"/>
              </w:rPr>
              <w:t>3 (8,5)</w:t>
            </w:r>
          </w:p>
          <w:p w:rsidR="008C39E9" w:rsidRPr="00EC7AC1" w:rsidRDefault="008C39E9" w:rsidP="00FB6668">
            <w:pPr>
              <w:jc w:val="center"/>
              <w:rPr>
                <w:rFonts w:eastAsia="Calibri"/>
                <w:lang w:eastAsia="en-US"/>
              </w:rPr>
            </w:pPr>
            <w:r w:rsidRPr="00EC7AC1">
              <w:rPr>
                <w:rFonts w:eastAsia="Calibri"/>
                <w:lang w:eastAsia="en-US"/>
              </w:rPr>
              <w:t>14 (40)</w:t>
            </w:r>
          </w:p>
          <w:p w:rsidR="008C39E9" w:rsidRPr="00EC7AC1" w:rsidRDefault="008C39E9" w:rsidP="00FB6668">
            <w:pPr>
              <w:jc w:val="center"/>
              <w:rPr>
                <w:rFonts w:eastAsia="Calibri"/>
                <w:lang w:eastAsia="en-US"/>
              </w:rPr>
            </w:pPr>
            <w:r w:rsidRPr="00EC7AC1">
              <w:rPr>
                <w:rFonts w:eastAsia="Calibri"/>
                <w:lang w:eastAsia="en-US"/>
              </w:rPr>
              <w:t>3 (8,5)</w:t>
            </w:r>
          </w:p>
          <w:p w:rsidR="008C39E9" w:rsidRPr="00EC7AC1" w:rsidRDefault="008C39E9" w:rsidP="00FB6668">
            <w:pPr>
              <w:jc w:val="center"/>
              <w:rPr>
                <w:rFonts w:eastAsia="Calibri"/>
                <w:lang w:eastAsia="en-US"/>
              </w:rPr>
            </w:pPr>
            <w:r w:rsidRPr="00EC7AC1">
              <w:rPr>
                <w:rFonts w:eastAsia="Calibri"/>
                <w:lang w:eastAsia="en-US"/>
              </w:rPr>
              <w:t>10 (27)</w:t>
            </w:r>
          </w:p>
          <w:p w:rsidR="008C39E9" w:rsidRPr="00EC7AC1" w:rsidRDefault="008C39E9" w:rsidP="00FB6668">
            <w:pPr>
              <w:jc w:val="center"/>
              <w:rPr>
                <w:rFonts w:eastAsia="Calibri"/>
                <w:lang w:eastAsia="en-US"/>
              </w:rPr>
            </w:pPr>
            <w:r w:rsidRPr="00EC7AC1">
              <w:rPr>
                <w:rFonts w:eastAsia="Calibri"/>
                <w:lang w:eastAsia="en-US"/>
              </w:rPr>
              <w:t>1 (3)</w:t>
            </w:r>
          </w:p>
          <w:p w:rsidR="008C39E9" w:rsidRPr="00EC7AC1" w:rsidRDefault="008C39E9" w:rsidP="00FB6668">
            <w:pPr>
              <w:jc w:val="center"/>
              <w:rPr>
                <w:rFonts w:eastAsia="Calibri"/>
                <w:lang w:eastAsia="en-US"/>
              </w:rPr>
            </w:pPr>
            <w:r w:rsidRPr="00EC7AC1">
              <w:rPr>
                <w:rFonts w:eastAsia="Calibri"/>
                <w:lang w:eastAsia="en-US"/>
              </w:rPr>
              <w:t>4 (11)</w:t>
            </w:r>
          </w:p>
          <w:p w:rsidR="008C39E9" w:rsidRPr="00EC7AC1" w:rsidRDefault="008C39E9" w:rsidP="00FB6668">
            <w:pPr>
              <w:jc w:val="center"/>
              <w:rPr>
                <w:rFonts w:eastAsia="Calibri"/>
                <w:lang w:eastAsia="en-US"/>
              </w:rPr>
            </w:pPr>
            <w:r w:rsidRPr="00EC7AC1">
              <w:rPr>
                <w:rFonts w:eastAsia="Calibri"/>
                <w:lang w:eastAsia="en-US"/>
              </w:rPr>
              <w:t>1 (3)</w:t>
            </w:r>
          </w:p>
        </w:tc>
      </w:tr>
      <w:tr w:rsidR="008C39E9" w:rsidRPr="00EC7AC1" w:rsidTr="00FB6668">
        <w:trPr>
          <w:jc w:val="center"/>
        </w:trPr>
        <w:tc>
          <w:tcPr>
            <w:tcW w:w="4820" w:type="dxa"/>
            <w:vAlign w:val="center"/>
          </w:tcPr>
          <w:p w:rsidR="008C39E9" w:rsidRPr="00EC7AC1" w:rsidRDefault="008C39E9" w:rsidP="00FB6668">
            <w:pPr>
              <w:rPr>
                <w:rFonts w:eastAsia="Calibri"/>
                <w:lang w:eastAsia="en-US"/>
              </w:rPr>
            </w:pPr>
          </w:p>
          <w:p w:rsidR="008C39E9" w:rsidRPr="00EC7AC1" w:rsidRDefault="008C39E9" w:rsidP="00FB6668">
            <w:pPr>
              <w:rPr>
                <w:rFonts w:eastAsia="Calibri"/>
                <w:lang w:eastAsia="en-US"/>
              </w:rPr>
            </w:pPr>
            <w:r w:rsidRPr="00EC7AC1">
              <w:rPr>
                <w:rFonts w:eastAsia="Calibri"/>
                <w:lang w:eastAsia="en-US"/>
              </w:rPr>
              <w:t>Tratamento Local</w:t>
            </w:r>
          </w:p>
          <w:p w:rsidR="008C39E9" w:rsidRPr="00EC7AC1" w:rsidRDefault="008C39E9" w:rsidP="00FB6668">
            <w:pPr>
              <w:rPr>
                <w:rFonts w:eastAsia="Calibri"/>
                <w:lang w:eastAsia="en-US"/>
              </w:rPr>
            </w:pPr>
            <w:r w:rsidRPr="00EC7AC1">
              <w:rPr>
                <w:rFonts w:eastAsia="Calibri"/>
                <w:lang w:eastAsia="en-US"/>
              </w:rPr>
              <w:t xml:space="preserve">   Cirurgia </w:t>
            </w:r>
          </w:p>
          <w:p w:rsidR="008C39E9" w:rsidRPr="00EC7AC1" w:rsidRDefault="008C39E9" w:rsidP="00FB6668">
            <w:pPr>
              <w:rPr>
                <w:rFonts w:eastAsia="Calibri"/>
                <w:lang w:eastAsia="en-US"/>
              </w:rPr>
            </w:pPr>
            <w:r w:rsidRPr="00EC7AC1">
              <w:rPr>
                <w:rFonts w:eastAsia="Calibri"/>
                <w:lang w:eastAsia="en-US"/>
              </w:rPr>
              <w:t xml:space="preserve">   Cirurgia e radioterapia </w:t>
            </w:r>
          </w:p>
          <w:p w:rsidR="008C39E9" w:rsidRPr="00EC7AC1" w:rsidRDefault="008C39E9" w:rsidP="00FB6668">
            <w:pPr>
              <w:rPr>
                <w:rFonts w:eastAsia="Calibri"/>
                <w:lang w:eastAsia="en-US"/>
              </w:rPr>
            </w:pPr>
            <w:r w:rsidRPr="00EC7AC1">
              <w:rPr>
                <w:rFonts w:eastAsia="Calibri"/>
                <w:lang w:eastAsia="en-US"/>
              </w:rPr>
              <w:t xml:space="preserve">   Radioterapia exclusiva</w:t>
            </w:r>
          </w:p>
        </w:tc>
        <w:tc>
          <w:tcPr>
            <w:tcW w:w="2410" w:type="dxa"/>
            <w:vAlign w:val="center"/>
          </w:tcPr>
          <w:p w:rsidR="008C39E9" w:rsidRPr="00EC7AC1" w:rsidRDefault="008C39E9" w:rsidP="00FB6668">
            <w:pPr>
              <w:jc w:val="center"/>
              <w:rPr>
                <w:rFonts w:eastAsia="Calibri"/>
                <w:lang w:eastAsia="en-US"/>
              </w:rPr>
            </w:pPr>
          </w:p>
          <w:p w:rsidR="008C39E9" w:rsidRPr="00EC7AC1" w:rsidRDefault="008C39E9" w:rsidP="00FB6668">
            <w:pPr>
              <w:jc w:val="center"/>
              <w:rPr>
                <w:rFonts w:eastAsia="Calibri"/>
                <w:lang w:eastAsia="en-US"/>
              </w:rPr>
            </w:pPr>
          </w:p>
          <w:p w:rsidR="008C39E9" w:rsidRPr="00EC7AC1" w:rsidRDefault="008C39E9" w:rsidP="00FB6668">
            <w:pPr>
              <w:jc w:val="center"/>
              <w:rPr>
                <w:rFonts w:eastAsia="Calibri"/>
                <w:lang w:eastAsia="en-US"/>
              </w:rPr>
            </w:pPr>
            <w:r w:rsidRPr="00EC7AC1">
              <w:rPr>
                <w:rFonts w:eastAsia="Calibri"/>
                <w:lang w:eastAsia="en-US"/>
              </w:rPr>
              <w:t>6 (16,2)</w:t>
            </w:r>
          </w:p>
          <w:p w:rsidR="008C39E9" w:rsidRPr="00EC7AC1" w:rsidRDefault="008C39E9" w:rsidP="00FB6668">
            <w:pPr>
              <w:jc w:val="center"/>
              <w:rPr>
                <w:rFonts w:eastAsia="Calibri"/>
                <w:lang w:eastAsia="en-US"/>
              </w:rPr>
            </w:pPr>
            <w:r w:rsidRPr="00EC7AC1">
              <w:rPr>
                <w:rFonts w:eastAsia="Calibri"/>
                <w:lang w:eastAsia="en-US"/>
              </w:rPr>
              <w:t>17 (45,9)</w:t>
            </w:r>
          </w:p>
          <w:p w:rsidR="008C39E9" w:rsidRPr="00EC7AC1" w:rsidRDefault="008C39E9" w:rsidP="00FB6668">
            <w:pPr>
              <w:jc w:val="center"/>
              <w:rPr>
                <w:rFonts w:eastAsia="Calibri"/>
                <w:lang w:eastAsia="en-US"/>
              </w:rPr>
            </w:pPr>
            <w:r w:rsidRPr="00EC7AC1">
              <w:rPr>
                <w:rFonts w:eastAsia="Calibri"/>
                <w:lang w:eastAsia="en-US"/>
              </w:rPr>
              <w:t>14 (37,8)</w:t>
            </w:r>
          </w:p>
        </w:tc>
      </w:tr>
      <w:tr w:rsidR="008C39E9" w:rsidRPr="00EC7AC1" w:rsidTr="00FB6668">
        <w:trPr>
          <w:jc w:val="center"/>
        </w:trPr>
        <w:tc>
          <w:tcPr>
            <w:tcW w:w="4820" w:type="dxa"/>
            <w:vAlign w:val="center"/>
          </w:tcPr>
          <w:p w:rsidR="008C39E9" w:rsidRPr="00EC7AC1" w:rsidRDefault="008C39E9" w:rsidP="00FB6668">
            <w:pPr>
              <w:rPr>
                <w:rFonts w:eastAsia="Calibri"/>
                <w:lang w:eastAsia="en-US"/>
              </w:rPr>
            </w:pPr>
          </w:p>
          <w:p w:rsidR="008C39E9" w:rsidRPr="00EC7AC1" w:rsidRDefault="008C39E9" w:rsidP="00FB6668">
            <w:pPr>
              <w:rPr>
                <w:rFonts w:eastAsia="Calibri"/>
                <w:lang w:eastAsia="en-US"/>
              </w:rPr>
            </w:pPr>
            <w:r w:rsidRPr="00EC7AC1">
              <w:rPr>
                <w:rFonts w:eastAsia="Calibri"/>
                <w:lang w:eastAsia="en-US"/>
              </w:rPr>
              <w:t>Tratamento Sistêmico (Quimioterapia)</w:t>
            </w:r>
          </w:p>
          <w:p w:rsidR="008C39E9" w:rsidRPr="00EC7AC1" w:rsidRDefault="008C39E9" w:rsidP="00FB6668">
            <w:pPr>
              <w:rPr>
                <w:rFonts w:eastAsia="Calibri"/>
                <w:lang w:eastAsia="en-US"/>
              </w:rPr>
            </w:pPr>
            <w:r w:rsidRPr="00EC7AC1">
              <w:rPr>
                <w:rFonts w:eastAsia="Calibri"/>
                <w:lang w:eastAsia="en-US"/>
              </w:rPr>
              <w:t xml:space="preserve">   Não</w:t>
            </w:r>
          </w:p>
          <w:p w:rsidR="008C39E9" w:rsidRPr="00EC7AC1" w:rsidRDefault="008C39E9" w:rsidP="00FB6668">
            <w:pPr>
              <w:rPr>
                <w:rFonts w:eastAsia="Calibri"/>
                <w:lang w:eastAsia="en-US"/>
              </w:rPr>
            </w:pPr>
            <w:r w:rsidRPr="00EC7AC1">
              <w:rPr>
                <w:rFonts w:eastAsia="Calibri"/>
                <w:lang w:eastAsia="en-US"/>
              </w:rPr>
              <w:t xml:space="preserve">   Sim</w:t>
            </w:r>
          </w:p>
        </w:tc>
        <w:tc>
          <w:tcPr>
            <w:tcW w:w="2410" w:type="dxa"/>
            <w:vAlign w:val="center"/>
          </w:tcPr>
          <w:p w:rsidR="008C39E9" w:rsidRPr="00EC7AC1" w:rsidRDefault="008C39E9" w:rsidP="00FB6668">
            <w:pPr>
              <w:jc w:val="center"/>
              <w:rPr>
                <w:rFonts w:eastAsia="Calibri"/>
                <w:lang w:eastAsia="en-US"/>
              </w:rPr>
            </w:pPr>
          </w:p>
          <w:p w:rsidR="008C39E9" w:rsidRPr="00EC7AC1" w:rsidRDefault="008C39E9" w:rsidP="00FB6668">
            <w:pPr>
              <w:jc w:val="center"/>
              <w:rPr>
                <w:rFonts w:eastAsia="Calibri"/>
                <w:lang w:eastAsia="en-US"/>
              </w:rPr>
            </w:pPr>
          </w:p>
          <w:p w:rsidR="008C39E9" w:rsidRPr="00EC7AC1" w:rsidRDefault="008C39E9" w:rsidP="00FB6668">
            <w:pPr>
              <w:jc w:val="center"/>
              <w:rPr>
                <w:rFonts w:eastAsia="Calibri"/>
                <w:lang w:eastAsia="en-US"/>
              </w:rPr>
            </w:pPr>
            <w:r w:rsidRPr="00EC7AC1">
              <w:rPr>
                <w:rFonts w:eastAsia="Calibri"/>
                <w:lang w:eastAsia="en-US"/>
              </w:rPr>
              <w:t>19 (51,4)</w:t>
            </w:r>
          </w:p>
          <w:p w:rsidR="008C39E9" w:rsidRPr="00EC7AC1" w:rsidRDefault="008C39E9" w:rsidP="00FB6668">
            <w:pPr>
              <w:jc w:val="center"/>
              <w:rPr>
                <w:rFonts w:eastAsia="Calibri"/>
                <w:lang w:eastAsia="en-US"/>
              </w:rPr>
            </w:pPr>
            <w:r w:rsidRPr="00EC7AC1">
              <w:rPr>
                <w:rFonts w:eastAsia="Calibri"/>
                <w:lang w:eastAsia="en-US"/>
              </w:rPr>
              <w:t>18 (48,6)</w:t>
            </w:r>
          </w:p>
        </w:tc>
      </w:tr>
    </w:tbl>
    <w:p w:rsidR="008C39E9" w:rsidRPr="00093FF5" w:rsidRDefault="008C39E9" w:rsidP="008C39E9">
      <w:pPr>
        <w:tabs>
          <w:tab w:val="center" w:pos="4003"/>
        </w:tabs>
        <w:spacing w:line="360" w:lineRule="auto"/>
        <w:jc w:val="both"/>
        <w:rPr>
          <w:bCs/>
          <w:sz w:val="20"/>
          <w:lang w:eastAsia="en-US"/>
        </w:rPr>
      </w:pPr>
      <w:r w:rsidRPr="00093FF5">
        <w:rPr>
          <w:sz w:val="20"/>
        </w:rPr>
        <w:t>Legenda:</w:t>
      </w:r>
      <w:r w:rsidR="00FB6668">
        <w:rPr>
          <w:sz w:val="20"/>
        </w:rPr>
        <w:t xml:space="preserve"> </w:t>
      </w:r>
      <w:r w:rsidRPr="00093FF5">
        <w:rPr>
          <w:bCs/>
          <w:i/>
          <w:sz w:val="20"/>
          <w:lang w:eastAsia="en-US"/>
        </w:rPr>
        <w:t>n</w:t>
      </w:r>
      <w:r w:rsidRPr="00093FF5">
        <w:rPr>
          <w:bCs/>
          <w:sz w:val="20"/>
          <w:lang w:eastAsia="en-US"/>
        </w:rPr>
        <w:t xml:space="preserve">=número absoluto. </w:t>
      </w:r>
    </w:p>
    <w:p w:rsidR="008C39E9" w:rsidRDefault="008C39E9" w:rsidP="008C39E9">
      <w:pPr>
        <w:tabs>
          <w:tab w:val="center" w:pos="4003"/>
        </w:tabs>
        <w:spacing w:line="360" w:lineRule="auto"/>
        <w:jc w:val="both"/>
        <w:rPr>
          <w:bCs/>
          <w:sz w:val="20"/>
          <w:lang w:eastAsia="en-US"/>
        </w:rPr>
      </w:pPr>
      <w:r w:rsidRPr="00093FF5">
        <w:rPr>
          <w:bCs/>
          <w:sz w:val="20"/>
          <w:lang w:eastAsia="en-US"/>
        </w:rPr>
        <w:t>Fonte: dos autores</w:t>
      </w:r>
      <w:r w:rsidR="00A9237F">
        <w:rPr>
          <w:bCs/>
          <w:sz w:val="20"/>
          <w:lang w:eastAsia="en-US"/>
        </w:rPr>
        <w:t xml:space="preserve"> (2017</w:t>
      </w:r>
      <w:r w:rsidRPr="00093FF5">
        <w:rPr>
          <w:bCs/>
          <w:sz w:val="20"/>
          <w:lang w:eastAsia="en-US"/>
        </w:rPr>
        <w:t xml:space="preserve">) </w:t>
      </w:r>
    </w:p>
    <w:p w:rsidR="0067100F" w:rsidRDefault="0067100F" w:rsidP="000D7279">
      <w:pPr>
        <w:tabs>
          <w:tab w:val="center" w:pos="4003"/>
        </w:tabs>
        <w:spacing w:line="360" w:lineRule="auto"/>
        <w:jc w:val="center"/>
      </w:pPr>
    </w:p>
    <w:p w:rsidR="008C39E9" w:rsidRPr="00EC7AC1" w:rsidRDefault="008C39E9" w:rsidP="000D7279">
      <w:pPr>
        <w:tabs>
          <w:tab w:val="center" w:pos="4003"/>
        </w:tabs>
        <w:spacing w:line="360" w:lineRule="auto"/>
        <w:jc w:val="center"/>
      </w:pPr>
      <w:r w:rsidRPr="00EC7AC1">
        <w:t xml:space="preserve">Tabela 2 - Descrição das variáveis relacionadas à saúde, alterações/disfunções </w:t>
      </w:r>
      <w:proofErr w:type="spellStart"/>
      <w:r w:rsidRPr="00EC7AC1">
        <w:t>autorreferidas</w:t>
      </w:r>
      <w:proofErr w:type="spellEnd"/>
    </w:p>
    <w:tbl>
      <w:tblPr>
        <w:tblW w:w="8932" w:type="dxa"/>
        <w:tblInd w:w="-176" w:type="dxa"/>
        <w:tblBorders>
          <w:top w:val="single" w:sz="4" w:space="0" w:color="auto"/>
          <w:bottom w:val="single" w:sz="4" w:space="0" w:color="auto"/>
        </w:tblBorders>
        <w:tblLayout w:type="fixed"/>
        <w:tblLook w:val="04A0" w:firstRow="1" w:lastRow="0" w:firstColumn="1" w:lastColumn="0" w:noHBand="0" w:noVBand="1"/>
      </w:tblPr>
      <w:tblGrid>
        <w:gridCol w:w="3545"/>
        <w:gridCol w:w="2268"/>
        <w:gridCol w:w="2126"/>
        <w:gridCol w:w="993"/>
      </w:tblGrid>
      <w:tr w:rsidR="008C39E9" w:rsidRPr="00EC7AC1" w:rsidTr="00FB6668">
        <w:tc>
          <w:tcPr>
            <w:tcW w:w="3545" w:type="dxa"/>
            <w:tcBorders>
              <w:top w:val="single" w:sz="12" w:space="0" w:color="auto"/>
              <w:bottom w:val="single" w:sz="4" w:space="0" w:color="auto"/>
            </w:tcBorders>
            <w:vAlign w:val="center"/>
          </w:tcPr>
          <w:p w:rsidR="008C39E9" w:rsidRPr="00EC7AC1" w:rsidRDefault="008C39E9" w:rsidP="00FB6668">
            <w:pPr>
              <w:spacing w:line="360" w:lineRule="auto"/>
              <w:jc w:val="both"/>
              <w:rPr>
                <w:kern w:val="1"/>
              </w:rPr>
            </w:pPr>
            <w:r w:rsidRPr="00EC7AC1">
              <w:rPr>
                <w:kern w:val="1"/>
              </w:rPr>
              <w:t>Variáveis</w:t>
            </w:r>
          </w:p>
        </w:tc>
        <w:tc>
          <w:tcPr>
            <w:tcW w:w="2268" w:type="dxa"/>
            <w:tcBorders>
              <w:top w:val="single" w:sz="12" w:space="0" w:color="auto"/>
              <w:bottom w:val="single" w:sz="4" w:space="0" w:color="auto"/>
            </w:tcBorders>
            <w:vAlign w:val="center"/>
          </w:tcPr>
          <w:p w:rsidR="008C39E9" w:rsidRPr="00FB6668" w:rsidRDefault="008C39E9" w:rsidP="00FB6668">
            <w:pPr>
              <w:jc w:val="center"/>
              <w:rPr>
                <w:kern w:val="1"/>
              </w:rPr>
            </w:pPr>
            <w:r w:rsidRPr="00FB6668">
              <w:rPr>
                <w:kern w:val="1"/>
              </w:rPr>
              <w:t>Grupo Câncer</w:t>
            </w:r>
          </w:p>
          <w:p w:rsidR="008C39E9" w:rsidRPr="00FB6668" w:rsidRDefault="008C39E9" w:rsidP="00FB6668">
            <w:pPr>
              <w:jc w:val="center"/>
              <w:rPr>
                <w:kern w:val="1"/>
              </w:rPr>
            </w:pPr>
            <w:r w:rsidRPr="00FB6668">
              <w:rPr>
                <w:kern w:val="1"/>
              </w:rPr>
              <w:t>n (%)</w:t>
            </w:r>
          </w:p>
        </w:tc>
        <w:tc>
          <w:tcPr>
            <w:tcW w:w="2126" w:type="dxa"/>
            <w:tcBorders>
              <w:top w:val="single" w:sz="12" w:space="0" w:color="auto"/>
              <w:bottom w:val="single" w:sz="4" w:space="0" w:color="auto"/>
            </w:tcBorders>
            <w:vAlign w:val="center"/>
          </w:tcPr>
          <w:p w:rsidR="008C39E9" w:rsidRPr="00FB6668" w:rsidRDefault="008C39E9" w:rsidP="00FB6668">
            <w:pPr>
              <w:jc w:val="center"/>
              <w:rPr>
                <w:kern w:val="1"/>
              </w:rPr>
            </w:pPr>
            <w:r w:rsidRPr="00FB6668">
              <w:rPr>
                <w:kern w:val="1"/>
              </w:rPr>
              <w:t>Grupo Controle</w:t>
            </w:r>
          </w:p>
          <w:p w:rsidR="008C39E9" w:rsidRPr="00FB6668" w:rsidRDefault="008C39E9" w:rsidP="00FB6668">
            <w:pPr>
              <w:jc w:val="center"/>
              <w:rPr>
                <w:kern w:val="1"/>
              </w:rPr>
            </w:pPr>
            <w:r w:rsidRPr="00FB6668">
              <w:rPr>
                <w:kern w:val="1"/>
              </w:rPr>
              <w:t>n (%)</w:t>
            </w:r>
          </w:p>
        </w:tc>
        <w:tc>
          <w:tcPr>
            <w:tcW w:w="993" w:type="dxa"/>
            <w:tcBorders>
              <w:top w:val="single" w:sz="12" w:space="0" w:color="auto"/>
              <w:bottom w:val="single" w:sz="4" w:space="0" w:color="auto"/>
            </w:tcBorders>
            <w:vAlign w:val="center"/>
          </w:tcPr>
          <w:p w:rsidR="008C39E9" w:rsidRPr="00FB6668" w:rsidRDefault="008C39E9" w:rsidP="00FB6668">
            <w:pPr>
              <w:spacing w:line="360" w:lineRule="auto"/>
              <w:jc w:val="center"/>
              <w:rPr>
                <w:kern w:val="1"/>
              </w:rPr>
            </w:pPr>
            <w:r w:rsidRPr="00FB6668">
              <w:rPr>
                <w:kern w:val="1"/>
              </w:rPr>
              <w:t>p-valor</w:t>
            </w:r>
          </w:p>
        </w:tc>
      </w:tr>
      <w:tr w:rsidR="008C39E9" w:rsidRPr="00EC7AC1" w:rsidTr="00FB6668">
        <w:tc>
          <w:tcPr>
            <w:tcW w:w="3545" w:type="dxa"/>
          </w:tcPr>
          <w:p w:rsidR="008C39E9" w:rsidRPr="00EC7AC1" w:rsidRDefault="008C39E9" w:rsidP="00FB6668">
            <w:pPr>
              <w:jc w:val="both"/>
              <w:rPr>
                <w:kern w:val="1"/>
              </w:rPr>
            </w:pPr>
            <w:r w:rsidRPr="00EC7AC1">
              <w:rPr>
                <w:kern w:val="1"/>
              </w:rPr>
              <w:t>Menopausa</w:t>
            </w:r>
          </w:p>
          <w:p w:rsidR="008C39E9" w:rsidRPr="00EC7AC1" w:rsidRDefault="008C39E9" w:rsidP="00FB6668">
            <w:pPr>
              <w:ind w:firstLine="318"/>
              <w:jc w:val="both"/>
              <w:rPr>
                <w:kern w:val="1"/>
              </w:rPr>
            </w:pPr>
            <w:r w:rsidRPr="00EC7AC1">
              <w:rPr>
                <w:kern w:val="1"/>
              </w:rPr>
              <w:t xml:space="preserve">Não </w:t>
            </w:r>
          </w:p>
          <w:p w:rsidR="008C39E9" w:rsidRPr="00EC7AC1" w:rsidRDefault="008C39E9" w:rsidP="00FB6668">
            <w:pPr>
              <w:ind w:firstLine="318"/>
              <w:jc w:val="both"/>
              <w:rPr>
                <w:kern w:val="1"/>
              </w:rPr>
            </w:pPr>
            <w:r w:rsidRPr="00EC7AC1">
              <w:rPr>
                <w:kern w:val="1"/>
              </w:rPr>
              <w:t>Sim</w:t>
            </w:r>
          </w:p>
        </w:tc>
        <w:tc>
          <w:tcPr>
            <w:tcW w:w="2268" w:type="dxa"/>
          </w:tcPr>
          <w:p w:rsidR="008C39E9" w:rsidRPr="00EC7AC1" w:rsidRDefault="008C39E9" w:rsidP="00FB6668">
            <w:pPr>
              <w:rPr>
                <w:kern w:val="1"/>
              </w:rPr>
            </w:pPr>
          </w:p>
          <w:p w:rsidR="008C39E9" w:rsidRPr="00EC7AC1" w:rsidRDefault="008C39E9" w:rsidP="00FB6668">
            <w:pPr>
              <w:jc w:val="center"/>
              <w:rPr>
                <w:kern w:val="1"/>
              </w:rPr>
            </w:pPr>
            <w:r w:rsidRPr="00EC7AC1">
              <w:rPr>
                <w:kern w:val="1"/>
              </w:rPr>
              <w:t>0 (0)</w:t>
            </w:r>
          </w:p>
          <w:p w:rsidR="008C39E9" w:rsidRPr="00EC7AC1" w:rsidRDefault="008C39E9" w:rsidP="00FB6668">
            <w:pPr>
              <w:jc w:val="center"/>
              <w:rPr>
                <w:kern w:val="1"/>
              </w:rPr>
            </w:pPr>
            <w:r w:rsidRPr="00EC7AC1">
              <w:rPr>
                <w:kern w:val="1"/>
              </w:rPr>
              <w:t>37 (100)</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15 (40,5)</w:t>
            </w:r>
          </w:p>
          <w:p w:rsidR="008C39E9" w:rsidRPr="00EC7AC1" w:rsidRDefault="008C39E9" w:rsidP="00FB6668">
            <w:pPr>
              <w:jc w:val="center"/>
              <w:rPr>
                <w:kern w:val="1"/>
              </w:rPr>
            </w:pPr>
            <w:r w:rsidRPr="00EC7AC1">
              <w:rPr>
                <w:kern w:val="1"/>
              </w:rPr>
              <w:t>22 (59,5)</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p>
          <w:p w:rsidR="008C39E9" w:rsidRPr="00EC7AC1" w:rsidRDefault="008C39E9" w:rsidP="00FB6668">
            <w:pPr>
              <w:rPr>
                <w:kern w:val="1"/>
              </w:rPr>
            </w:pPr>
            <w:r w:rsidRPr="00EC7AC1">
              <w:rPr>
                <w:kern w:val="1"/>
              </w:rPr>
              <w:t>Menopausa relacionada ao tratamento</w:t>
            </w:r>
          </w:p>
          <w:p w:rsidR="008C39E9" w:rsidRPr="00EC7AC1" w:rsidRDefault="008C39E9" w:rsidP="00FB6668">
            <w:pPr>
              <w:ind w:firstLine="318"/>
              <w:jc w:val="both"/>
              <w:rPr>
                <w:kern w:val="1"/>
              </w:rPr>
            </w:pPr>
            <w:r w:rsidRPr="00EC7AC1">
              <w:rPr>
                <w:kern w:val="1"/>
              </w:rPr>
              <w:t xml:space="preserve">Não </w:t>
            </w:r>
          </w:p>
          <w:p w:rsidR="008C39E9" w:rsidRPr="00EC7AC1" w:rsidRDefault="008C39E9" w:rsidP="00FB6668">
            <w:pPr>
              <w:jc w:val="both"/>
              <w:rPr>
                <w:kern w:val="1"/>
              </w:rPr>
            </w:pPr>
            <w:r w:rsidRPr="00EC7AC1">
              <w:rPr>
                <w:kern w:val="1"/>
              </w:rPr>
              <w:t xml:space="preserve">     Sim</w:t>
            </w: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13 (35,1)</w:t>
            </w:r>
          </w:p>
          <w:p w:rsidR="008C39E9" w:rsidRPr="00EC7AC1" w:rsidRDefault="008C39E9" w:rsidP="00FB6668">
            <w:pPr>
              <w:jc w:val="center"/>
              <w:rPr>
                <w:kern w:val="1"/>
              </w:rPr>
            </w:pPr>
            <w:r w:rsidRPr="00EC7AC1">
              <w:rPr>
                <w:kern w:val="1"/>
              </w:rPr>
              <w:t>24 (64,9)</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p>
          <w:p w:rsidR="008C39E9" w:rsidRPr="00FB6668" w:rsidRDefault="008C39E9" w:rsidP="00FB6668">
            <w:pPr>
              <w:jc w:val="center"/>
              <w:rPr>
                <w:kern w:val="1"/>
              </w:rPr>
            </w:pPr>
            <w:r w:rsidRPr="00FB6668">
              <w:rPr>
                <w:kern w:val="1"/>
              </w:rPr>
              <w:t>------</w:t>
            </w:r>
          </w:p>
        </w:tc>
      </w:tr>
      <w:tr w:rsidR="008C39E9" w:rsidRPr="00EC7AC1" w:rsidTr="00FB6668">
        <w:tc>
          <w:tcPr>
            <w:tcW w:w="3545" w:type="dxa"/>
          </w:tcPr>
          <w:p w:rsidR="008C39E9" w:rsidRPr="00EC7AC1" w:rsidRDefault="008C39E9" w:rsidP="00FB6668">
            <w:pPr>
              <w:jc w:val="both"/>
              <w:rPr>
                <w:kern w:val="1"/>
              </w:rPr>
            </w:pPr>
          </w:p>
          <w:p w:rsidR="008C39E9" w:rsidRPr="00EC7AC1" w:rsidRDefault="008C39E9" w:rsidP="00FB6668">
            <w:pPr>
              <w:jc w:val="both"/>
              <w:rPr>
                <w:kern w:val="1"/>
              </w:rPr>
            </w:pPr>
            <w:r w:rsidRPr="00EC7AC1">
              <w:rPr>
                <w:kern w:val="1"/>
              </w:rPr>
              <w:t>Fogachos</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7 (18,9)</w:t>
            </w:r>
          </w:p>
          <w:p w:rsidR="008C39E9" w:rsidRPr="00EC7AC1" w:rsidRDefault="008C39E9" w:rsidP="00FB6668">
            <w:pPr>
              <w:jc w:val="center"/>
              <w:rPr>
                <w:kern w:val="1"/>
              </w:rPr>
            </w:pPr>
            <w:r w:rsidRPr="00EC7AC1">
              <w:rPr>
                <w:kern w:val="1"/>
              </w:rPr>
              <w:t>30 (81,1)</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22 (59,5)</w:t>
            </w:r>
          </w:p>
          <w:p w:rsidR="008C39E9" w:rsidRPr="00EC7AC1" w:rsidRDefault="008C39E9" w:rsidP="00FB6668">
            <w:pPr>
              <w:jc w:val="center"/>
              <w:rPr>
                <w:kern w:val="1"/>
              </w:rPr>
            </w:pPr>
            <w:r w:rsidRPr="00EC7AC1">
              <w:rPr>
                <w:kern w:val="1"/>
              </w:rPr>
              <w:t>15 (40,5)</w:t>
            </w:r>
          </w:p>
        </w:tc>
        <w:tc>
          <w:tcPr>
            <w:tcW w:w="993" w:type="dxa"/>
          </w:tcPr>
          <w:p w:rsidR="008C39E9" w:rsidRPr="00FB6668" w:rsidRDefault="008C39E9" w:rsidP="00FB6668">
            <w:pPr>
              <w:jc w:val="center"/>
              <w:rPr>
                <w:kern w:val="1"/>
              </w:rPr>
            </w:pPr>
          </w:p>
          <w:p w:rsidR="008C39E9" w:rsidRPr="00FB6668" w:rsidRDefault="008C39E9" w:rsidP="00FB6668">
            <w:pPr>
              <w:jc w:val="center"/>
              <w:rPr>
                <w:bCs/>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p>
          <w:p w:rsidR="008C39E9" w:rsidRPr="00EC7AC1" w:rsidRDefault="008C39E9" w:rsidP="00FB6668">
            <w:pPr>
              <w:jc w:val="both"/>
              <w:rPr>
                <w:kern w:val="1"/>
              </w:rPr>
            </w:pPr>
            <w:r w:rsidRPr="00EC7AC1">
              <w:rPr>
                <w:kern w:val="1"/>
              </w:rPr>
              <w:t>Vagina estreita/curta</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13 (35,1)</w:t>
            </w:r>
          </w:p>
          <w:p w:rsidR="008C39E9" w:rsidRPr="00EC7AC1" w:rsidRDefault="008C39E9" w:rsidP="00FB6668">
            <w:pPr>
              <w:jc w:val="center"/>
              <w:rPr>
                <w:kern w:val="1"/>
              </w:rPr>
            </w:pPr>
            <w:r w:rsidRPr="00EC7AC1">
              <w:rPr>
                <w:kern w:val="1"/>
              </w:rPr>
              <w:t>24 (64,9)</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vAlign w:val="center"/>
          </w:tcPr>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bCs/>
                <w:kern w:val="1"/>
              </w:rPr>
            </w:pPr>
            <w:r w:rsidRPr="00EC7AC1">
              <w:rPr>
                <w:bCs/>
                <w:kern w:val="1"/>
              </w:rPr>
              <w:t>Sexualmente ativa</w:t>
            </w:r>
          </w:p>
          <w:p w:rsidR="008C39E9" w:rsidRPr="00EC7AC1" w:rsidRDefault="008C39E9" w:rsidP="00FB6668">
            <w:pPr>
              <w:ind w:firstLine="318"/>
              <w:jc w:val="both"/>
              <w:rPr>
                <w:bCs/>
                <w:kern w:val="1"/>
              </w:rPr>
            </w:pPr>
            <w:r w:rsidRPr="00EC7AC1">
              <w:rPr>
                <w:bCs/>
                <w:kern w:val="1"/>
              </w:rPr>
              <w:t>Não</w:t>
            </w:r>
          </w:p>
          <w:p w:rsidR="008C39E9" w:rsidRPr="00EC7AC1" w:rsidRDefault="008C39E9" w:rsidP="00FB6668">
            <w:pPr>
              <w:ind w:firstLine="318"/>
              <w:jc w:val="both"/>
              <w:rPr>
                <w:kern w:val="1"/>
              </w:rPr>
            </w:pPr>
            <w:r w:rsidRPr="00EC7AC1">
              <w:rPr>
                <w:bCs/>
                <w:kern w:val="1"/>
              </w:rPr>
              <w:t>Sim</w:t>
            </w: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22 (59,5)</w:t>
            </w:r>
          </w:p>
          <w:p w:rsidR="008C39E9" w:rsidRPr="00EC7AC1" w:rsidRDefault="008C39E9" w:rsidP="00FB6668">
            <w:pPr>
              <w:jc w:val="center"/>
              <w:rPr>
                <w:kern w:val="1"/>
              </w:rPr>
            </w:pPr>
            <w:r w:rsidRPr="00EC7AC1">
              <w:rPr>
                <w:kern w:val="1"/>
              </w:rPr>
              <w:t>15 (40,5)</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9 (24,3)</w:t>
            </w:r>
          </w:p>
          <w:p w:rsidR="008C39E9" w:rsidRPr="00EC7AC1" w:rsidRDefault="008C39E9" w:rsidP="00FB6668">
            <w:pPr>
              <w:jc w:val="center"/>
              <w:rPr>
                <w:kern w:val="1"/>
              </w:rPr>
            </w:pPr>
            <w:r w:rsidRPr="00EC7AC1">
              <w:rPr>
                <w:kern w:val="1"/>
              </w:rPr>
              <w:t>28 (75,7)</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p>
          <w:p w:rsidR="008C39E9" w:rsidRPr="00EC7AC1" w:rsidRDefault="008C39E9" w:rsidP="00FB6668">
            <w:pPr>
              <w:jc w:val="both"/>
              <w:rPr>
                <w:kern w:val="1"/>
              </w:rPr>
            </w:pPr>
            <w:r w:rsidRPr="00EC7AC1">
              <w:rPr>
                <w:kern w:val="1"/>
              </w:rPr>
              <w:t>Sangramento durante relação sexual</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tc>
        <w:tc>
          <w:tcPr>
            <w:tcW w:w="2268" w:type="dxa"/>
          </w:tcPr>
          <w:p w:rsidR="008C39E9" w:rsidRPr="00EC7AC1" w:rsidRDefault="008C39E9" w:rsidP="00FB6668">
            <w:pPr>
              <w:jc w:val="both"/>
              <w:rPr>
                <w:kern w:val="1"/>
              </w:rPr>
            </w:pPr>
          </w:p>
          <w:p w:rsidR="008C39E9" w:rsidRPr="00EC7AC1" w:rsidRDefault="008C39E9" w:rsidP="00FB6668">
            <w:pPr>
              <w:rPr>
                <w:kern w:val="1"/>
              </w:rPr>
            </w:pPr>
          </w:p>
          <w:p w:rsidR="008C39E9" w:rsidRPr="00EC7AC1" w:rsidRDefault="008C39E9" w:rsidP="00FB6668">
            <w:pPr>
              <w:jc w:val="center"/>
              <w:rPr>
                <w:kern w:val="1"/>
              </w:rPr>
            </w:pPr>
            <w:r w:rsidRPr="00EC7AC1">
              <w:rPr>
                <w:kern w:val="1"/>
              </w:rPr>
              <w:t>12 (63,2)</w:t>
            </w:r>
          </w:p>
          <w:p w:rsidR="008C39E9" w:rsidRPr="00EC7AC1" w:rsidRDefault="008C39E9" w:rsidP="00FB6668">
            <w:pPr>
              <w:jc w:val="center"/>
              <w:rPr>
                <w:kern w:val="1"/>
              </w:rPr>
            </w:pPr>
            <w:r w:rsidRPr="00EC7AC1">
              <w:rPr>
                <w:kern w:val="1"/>
              </w:rPr>
              <w:t>7 (36,8)</w:t>
            </w:r>
          </w:p>
        </w:tc>
        <w:tc>
          <w:tcPr>
            <w:tcW w:w="2126" w:type="dxa"/>
          </w:tcPr>
          <w:p w:rsidR="008C39E9" w:rsidRPr="00EC7AC1" w:rsidRDefault="008C39E9" w:rsidP="00FB6668">
            <w:pPr>
              <w:jc w:val="both"/>
              <w:rPr>
                <w:kern w:val="1"/>
              </w:rPr>
            </w:pPr>
          </w:p>
          <w:p w:rsidR="008C39E9" w:rsidRPr="00EC7AC1" w:rsidRDefault="008C39E9" w:rsidP="00FB6668">
            <w:pP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both"/>
              <w:rPr>
                <w:kern w:val="1"/>
              </w:rPr>
            </w:pPr>
          </w:p>
          <w:p w:rsidR="008C39E9" w:rsidRPr="00FB6668" w:rsidRDefault="008C39E9" w:rsidP="00FB6668">
            <w:pPr>
              <w:jc w:val="center"/>
              <w:rPr>
                <w:bCs/>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p>
          <w:p w:rsidR="008C39E9" w:rsidRPr="00EC7AC1" w:rsidRDefault="008C39E9" w:rsidP="00FB6668">
            <w:pPr>
              <w:jc w:val="both"/>
              <w:rPr>
                <w:kern w:val="1"/>
              </w:rPr>
            </w:pPr>
            <w:r w:rsidRPr="00EC7AC1">
              <w:rPr>
                <w:kern w:val="1"/>
              </w:rPr>
              <w:t>Dor/ardência ao urinar</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25 (67,6)</w:t>
            </w:r>
          </w:p>
          <w:p w:rsidR="008C39E9" w:rsidRPr="00EC7AC1" w:rsidRDefault="008C39E9" w:rsidP="00FB6668">
            <w:pPr>
              <w:jc w:val="center"/>
              <w:rPr>
                <w:kern w:val="1"/>
              </w:rPr>
            </w:pPr>
            <w:r w:rsidRPr="00EC7AC1">
              <w:rPr>
                <w:kern w:val="1"/>
              </w:rPr>
              <w:t>12 (32,4)</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35 (94,6)</w:t>
            </w:r>
          </w:p>
          <w:p w:rsidR="008C39E9" w:rsidRPr="00EC7AC1" w:rsidRDefault="008C39E9" w:rsidP="00FB6668">
            <w:pPr>
              <w:jc w:val="center"/>
              <w:rPr>
                <w:kern w:val="1"/>
              </w:rPr>
            </w:pPr>
            <w:r w:rsidRPr="00EC7AC1">
              <w:rPr>
                <w:kern w:val="1"/>
              </w:rPr>
              <w:t>2 (5,4)</w:t>
            </w:r>
          </w:p>
        </w:tc>
        <w:tc>
          <w:tcPr>
            <w:tcW w:w="993" w:type="dxa"/>
          </w:tcPr>
          <w:p w:rsidR="008C39E9" w:rsidRPr="00FB6668" w:rsidRDefault="008C39E9" w:rsidP="00FB6668">
            <w:pPr>
              <w:jc w:val="center"/>
              <w:rPr>
                <w:kern w:val="1"/>
              </w:rPr>
            </w:pPr>
          </w:p>
          <w:p w:rsidR="008C39E9" w:rsidRPr="00FB6668" w:rsidRDefault="008C39E9" w:rsidP="00FB6668">
            <w:pPr>
              <w:jc w:val="center"/>
              <w:rPr>
                <w:bCs/>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p>
          <w:p w:rsidR="008C39E9" w:rsidRPr="00EC7AC1" w:rsidRDefault="008C39E9" w:rsidP="00FB6668">
            <w:pPr>
              <w:jc w:val="both"/>
              <w:rPr>
                <w:kern w:val="1"/>
              </w:rPr>
            </w:pPr>
            <w:r w:rsidRPr="00EC7AC1">
              <w:rPr>
                <w:kern w:val="1"/>
              </w:rPr>
              <w:t>Aumento frequência urinária</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tc>
        <w:tc>
          <w:tcPr>
            <w:tcW w:w="2268" w:type="dxa"/>
          </w:tcPr>
          <w:p w:rsidR="008C39E9" w:rsidRPr="00EC7AC1" w:rsidRDefault="008C39E9" w:rsidP="00FB6668">
            <w:pPr>
              <w:jc w:val="center"/>
              <w:rPr>
                <w:kern w:val="1"/>
              </w:rPr>
            </w:pPr>
          </w:p>
          <w:p w:rsidR="008C39E9" w:rsidRPr="00EC7AC1" w:rsidRDefault="008C39E9" w:rsidP="00FB6668">
            <w:pPr>
              <w:tabs>
                <w:tab w:val="left" w:pos="645"/>
                <w:tab w:val="center" w:pos="1168"/>
              </w:tabs>
              <w:rPr>
                <w:kern w:val="1"/>
              </w:rPr>
            </w:pPr>
            <w:r w:rsidRPr="00EC7AC1">
              <w:rPr>
                <w:kern w:val="1"/>
              </w:rPr>
              <w:tab/>
            </w:r>
          </w:p>
          <w:p w:rsidR="008C39E9" w:rsidRPr="00EC7AC1" w:rsidRDefault="008C39E9" w:rsidP="00FB6668">
            <w:pPr>
              <w:tabs>
                <w:tab w:val="left" w:pos="645"/>
                <w:tab w:val="center" w:pos="1168"/>
              </w:tabs>
              <w:jc w:val="center"/>
              <w:rPr>
                <w:kern w:val="1"/>
              </w:rPr>
            </w:pPr>
            <w:r w:rsidRPr="00EC7AC1">
              <w:rPr>
                <w:kern w:val="1"/>
              </w:rPr>
              <w:t>23 (62,2)</w:t>
            </w:r>
          </w:p>
          <w:p w:rsidR="008C39E9" w:rsidRPr="00EC7AC1" w:rsidRDefault="008C39E9" w:rsidP="00FB6668">
            <w:pPr>
              <w:jc w:val="center"/>
              <w:rPr>
                <w:kern w:val="1"/>
              </w:rPr>
            </w:pPr>
            <w:r w:rsidRPr="00EC7AC1">
              <w:rPr>
                <w:kern w:val="1"/>
              </w:rPr>
              <w:t>14 (37,8)</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center"/>
              <w:rPr>
                <w:kern w:val="1"/>
              </w:rPr>
            </w:pPr>
          </w:p>
          <w:p w:rsidR="008C39E9" w:rsidRPr="00FB6668" w:rsidRDefault="008C39E9" w:rsidP="00FB6668">
            <w:pPr>
              <w:jc w:val="center"/>
              <w:rPr>
                <w:bCs/>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p>
          <w:p w:rsidR="008C39E9" w:rsidRPr="00EC7AC1" w:rsidRDefault="008C39E9" w:rsidP="00FB6668">
            <w:pPr>
              <w:jc w:val="both"/>
              <w:rPr>
                <w:kern w:val="1"/>
              </w:rPr>
            </w:pPr>
            <w:r w:rsidRPr="00EC7AC1">
              <w:rPr>
                <w:kern w:val="1"/>
              </w:rPr>
              <w:t>Urgência urinária</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23 (62,2)</w:t>
            </w:r>
          </w:p>
          <w:p w:rsidR="008C39E9" w:rsidRPr="00EC7AC1" w:rsidRDefault="008C39E9" w:rsidP="00FB6668">
            <w:pPr>
              <w:jc w:val="center"/>
              <w:rPr>
                <w:kern w:val="1"/>
              </w:rPr>
            </w:pPr>
            <w:r w:rsidRPr="00EC7AC1">
              <w:rPr>
                <w:kern w:val="1"/>
              </w:rPr>
              <w:t>14 (37,8)</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31 (83,8)</w:t>
            </w:r>
          </w:p>
          <w:p w:rsidR="008C39E9" w:rsidRPr="00EC7AC1" w:rsidRDefault="008C39E9" w:rsidP="00FB6668">
            <w:pPr>
              <w:jc w:val="center"/>
              <w:rPr>
                <w:kern w:val="1"/>
              </w:rPr>
            </w:pPr>
            <w:r w:rsidRPr="00EC7AC1">
              <w:rPr>
                <w:kern w:val="1"/>
              </w:rPr>
              <w:t>6 (16,2)</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p>
          <w:p w:rsidR="008C39E9" w:rsidRPr="00FB6668" w:rsidRDefault="008C39E9" w:rsidP="00FB6668">
            <w:pPr>
              <w:jc w:val="center"/>
              <w:rPr>
                <w:kern w:val="1"/>
              </w:rPr>
            </w:pPr>
            <w:r w:rsidRPr="00FB6668">
              <w:rPr>
                <w:kern w:val="1"/>
              </w:rPr>
              <w:t>0,03</w:t>
            </w:r>
          </w:p>
        </w:tc>
      </w:tr>
      <w:tr w:rsidR="008C39E9" w:rsidRPr="00EC7AC1" w:rsidTr="00FB6668">
        <w:tc>
          <w:tcPr>
            <w:tcW w:w="3545" w:type="dxa"/>
          </w:tcPr>
          <w:p w:rsidR="008C39E9" w:rsidRPr="00EC7AC1" w:rsidRDefault="008C39E9" w:rsidP="00FB6668">
            <w:pPr>
              <w:jc w:val="both"/>
              <w:rPr>
                <w:kern w:val="1"/>
              </w:rPr>
            </w:pPr>
            <w:r w:rsidRPr="00EC7AC1">
              <w:rPr>
                <w:kern w:val="1"/>
              </w:rPr>
              <w:t>Incontinência urinária</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24 (64,9)</w:t>
            </w:r>
          </w:p>
          <w:p w:rsidR="008C39E9" w:rsidRPr="00EC7AC1" w:rsidRDefault="008C39E9" w:rsidP="00FB6668">
            <w:pPr>
              <w:jc w:val="center"/>
              <w:rPr>
                <w:kern w:val="1"/>
              </w:rPr>
            </w:pPr>
            <w:r w:rsidRPr="00EC7AC1">
              <w:rPr>
                <w:kern w:val="1"/>
              </w:rPr>
              <w:t>13 (35,1)</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33 (89,2)</w:t>
            </w:r>
          </w:p>
          <w:p w:rsidR="008C39E9" w:rsidRPr="00EC7AC1" w:rsidRDefault="008C39E9" w:rsidP="00FB6668">
            <w:pPr>
              <w:jc w:val="center"/>
              <w:rPr>
                <w:kern w:val="1"/>
              </w:rPr>
            </w:pPr>
            <w:r w:rsidRPr="00EC7AC1">
              <w:rPr>
                <w:kern w:val="1"/>
              </w:rPr>
              <w:t>4 (10,8)</w:t>
            </w:r>
          </w:p>
        </w:tc>
        <w:tc>
          <w:tcPr>
            <w:tcW w:w="993" w:type="dxa"/>
          </w:tcPr>
          <w:p w:rsidR="008C39E9" w:rsidRPr="00FB6668" w:rsidRDefault="008C39E9" w:rsidP="00FB6668">
            <w:pPr>
              <w:jc w:val="center"/>
              <w:rPr>
                <w:kern w:val="1"/>
              </w:rPr>
            </w:pPr>
          </w:p>
          <w:p w:rsidR="008C39E9" w:rsidRPr="00FB6668" w:rsidRDefault="008C39E9" w:rsidP="00FB6668">
            <w:pPr>
              <w:jc w:val="both"/>
              <w:rPr>
                <w:kern w:val="1"/>
              </w:rPr>
            </w:pPr>
            <w:r w:rsidRPr="00FB6668">
              <w:rPr>
                <w:kern w:val="1"/>
              </w:rPr>
              <w:t xml:space="preserve">    0,02</w:t>
            </w:r>
          </w:p>
        </w:tc>
      </w:tr>
      <w:tr w:rsidR="008C39E9" w:rsidRPr="00EC7AC1" w:rsidTr="00FB6668">
        <w:tc>
          <w:tcPr>
            <w:tcW w:w="3545" w:type="dxa"/>
          </w:tcPr>
          <w:p w:rsidR="008C39E9" w:rsidRPr="00EC7AC1" w:rsidRDefault="008C39E9" w:rsidP="00FB6668">
            <w:pPr>
              <w:jc w:val="both"/>
              <w:rPr>
                <w:kern w:val="1"/>
              </w:rPr>
            </w:pPr>
          </w:p>
          <w:p w:rsidR="008C39E9" w:rsidRPr="00EC7AC1" w:rsidRDefault="008C39E9" w:rsidP="00FB6668">
            <w:pPr>
              <w:jc w:val="both"/>
              <w:rPr>
                <w:kern w:val="1"/>
              </w:rPr>
            </w:pPr>
            <w:r w:rsidRPr="00EC7AC1">
              <w:rPr>
                <w:kern w:val="1"/>
              </w:rPr>
              <w:t>Incontinência urinária aos esforços</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vAlign w:val="center"/>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25 (67,6)</w:t>
            </w:r>
          </w:p>
          <w:p w:rsidR="008C39E9" w:rsidRPr="00EC7AC1" w:rsidRDefault="008C39E9" w:rsidP="00FB6668">
            <w:pPr>
              <w:jc w:val="center"/>
              <w:rPr>
                <w:kern w:val="1"/>
              </w:rPr>
            </w:pPr>
            <w:r w:rsidRPr="00EC7AC1">
              <w:rPr>
                <w:kern w:val="1"/>
              </w:rPr>
              <w:t>12 (32,4)</w:t>
            </w:r>
          </w:p>
        </w:tc>
        <w:tc>
          <w:tcPr>
            <w:tcW w:w="2126" w:type="dxa"/>
            <w:vAlign w:val="center"/>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22 (59,5)</w:t>
            </w:r>
          </w:p>
          <w:p w:rsidR="008C39E9" w:rsidRPr="00EC7AC1" w:rsidRDefault="008C39E9" w:rsidP="00FB6668">
            <w:pPr>
              <w:jc w:val="center"/>
              <w:rPr>
                <w:kern w:val="1"/>
              </w:rPr>
            </w:pPr>
            <w:r w:rsidRPr="00EC7AC1">
              <w:rPr>
                <w:kern w:val="1"/>
              </w:rPr>
              <w:t>15 (40,5)</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p>
          <w:p w:rsidR="008C39E9" w:rsidRPr="00FB6668" w:rsidRDefault="008C39E9" w:rsidP="00FB6668">
            <w:pPr>
              <w:jc w:val="center"/>
              <w:rPr>
                <w:kern w:val="1"/>
              </w:rPr>
            </w:pPr>
            <w:r w:rsidRPr="00FB6668">
              <w:rPr>
                <w:kern w:val="1"/>
              </w:rPr>
              <w:t>0,46</w:t>
            </w:r>
          </w:p>
          <w:p w:rsidR="008C39E9" w:rsidRPr="00FB6668" w:rsidRDefault="008C39E9" w:rsidP="00FB6668">
            <w:pPr>
              <w:jc w:val="center"/>
              <w:rPr>
                <w:kern w:val="1"/>
              </w:rPr>
            </w:pPr>
          </w:p>
        </w:tc>
      </w:tr>
      <w:tr w:rsidR="008C39E9" w:rsidRPr="00EC7AC1" w:rsidTr="00FB6668">
        <w:tc>
          <w:tcPr>
            <w:tcW w:w="3545" w:type="dxa"/>
          </w:tcPr>
          <w:p w:rsidR="008C39E9" w:rsidRPr="00EC7AC1" w:rsidRDefault="008C39E9" w:rsidP="00FB6668">
            <w:pPr>
              <w:jc w:val="both"/>
              <w:rPr>
                <w:kern w:val="1"/>
              </w:rPr>
            </w:pPr>
            <w:r w:rsidRPr="00EC7AC1">
              <w:rPr>
                <w:kern w:val="1"/>
              </w:rPr>
              <w:t>Retenção urinária</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29 (78,4)</w:t>
            </w:r>
          </w:p>
          <w:p w:rsidR="008C39E9" w:rsidRPr="00EC7AC1" w:rsidRDefault="008C39E9" w:rsidP="00FB6668">
            <w:pPr>
              <w:jc w:val="center"/>
              <w:rPr>
                <w:kern w:val="1"/>
              </w:rPr>
            </w:pPr>
            <w:r w:rsidRPr="00EC7AC1">
              <w:rPr>
                <w:kern w:val="1"/>
              </w:rPr>
              <w:t>8 (21,6)</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36 (97,3)</w:t>
            </w:r>
          </w:p>
          <w:p w:rsidR="008C39E9" w:rsidRPr="00EC7AC1" w:rsidRDefault="008C39E9" w:rsidP="00FB6668">
            <w:pPr>
              <w:jc w:val="center"/>
              <w:rPr>
                <w:kern w:val="1"/>
              </w:rPr>
            </w:pPr>
            <w:r w:rsidRPr="00EC7AC1">
              <w:rPr>
                <w:kern w:val="1"/>
              </w:rPr>
              <w:t>1 (2,7)</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kern w:val="1"/>
              </w:rPr>
              <w:t>0,02</w:t>
            </w:r>
          </w:p>
        </w:tc>
      </w:tr>
      <w:tr w:rsidR="008C39E9" w:rsidRPr="00EC7AC1" w:rsidTr="00FB6668">
        <w:tc>
          <w:tcPr>
            <w:tcW w:w="3545" w:type="dxa"/>
          </w:tcPr>
          <w:p w:rsidR="008C39E9" w:rsidRPr="00EC7AC1" w:rsidRDefault="008C39E9" w:rsidP="00FB6668">
            <w:pPr>
              <w:jc w:val="both"/>
              <w:rPr>
                <w:kern w:val="1"/>
              </w:rPr>
            </w:pPr>
            <w:r w:rsidRPr="00EC7AC1">
              <w:rPr>
                <w:kern w:val="1"/>
              </w:rPr>
              <w:t>Hematúria</w:t>
            </w:r>
          </w:p>
          <w:p w:rsidR="008C39E9" w:rsidRPr="00EC7AC1" w:rsidRDefault="008C39E9" w:rsidP="00FB6668">
            <w:pPr>
              <w:ind w:firstLine="318"/>
              <w:jc w:val="both"/>
              <w:rPr>
                <w:kern w:val="1"/>
              </w:rPr>
            </w:pPr>
            <w:r w:rsidRPr="00EC7AC1">
              <w:rPr>
                <w:kern w:val="1"/>
              </w:rPr>
              <w:lastRenderedPageBreak/>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lastRenderedPageBreak/>
              <w:t>33 (89,2)</w:t>
            </w:r>
          </w:p>
          <w:p w:rsidR="008C39E9" w:rsidRPr="00EC7AC1" w:rsidRDefault="008C39E9" w:rsidP="00FB6668">
            <w:pPr>
              <w:jc w:val="center"/>
              <w:rPr>
                <w:kern w:val="1"/>
              </w:rPr>
            </w:pPr>
            <w:r w:rsidRPr="00EC7AC1">
              <w:rPr>
                <w:kern w:val="1"/>
              </w:rPr>
              <w:t>4 (10,8)</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lastRenderedPageBreak/>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kern w:val="1"/>
              </w:rPr>
              <w:lastRenderedPageBreak/>
              <w:t>0,11</w:t>
            </w:r>
          </w:p>
        </w:tc>
      </w:tr>
      <w:tr w:rsidR="008C39E9" w:rsidRPr="00EC7AC1" w:rsidTr="00FB6668">
        <w:tc>
          <w:tcPr>
            <w:tcW w:w="3545" w:type="dxa"/>
          </w:tcPr>
          <w:p w:rsidR="008C39E9" w:rsidRPr="00EC7AC1" w:rsidRDefault="008C39E9" w:rsidP="00FB6668">
            <w:pPr>
              <w:jc w:val="both"/>
              <w:rPr>
                <w:kern w:val="1"/>
              </w:rPr>
            </w:pPr>
            <w:r w:rsidRPr="00EC7AC1">
              <w:rPr>
                <w:kern w:val="1"/>
              </w:rPr>
              <w:t>Diarreia</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21 (56,8)</w:t>
            </w:r>
          </w:p>
          <w:p w:rsidR="008C39E9" w:rsidRPr="00EC7AC1" w:rsidRDefault="008C39E9" w:rsidP="00FB6668">
            <w:pPr>
              <w:jc w:val="center"/>
              <w:rPr>
                <w:kern w:val="1"/>
              </w:rPr>
            </w:pPr>
            <w:r w:rsidRPr="00EC7AC1">
              <w:rPr>
                <w:kern w:val="1"/>
              </w:rPr>
              <w:t>16 (43,2)</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r w:rsidRPr="00EC7AC1">
              <w:rPr>
                <w:kern w:val="1"/>
              </w:rPr>
              <w:t>Urgência fecal</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23 (62,2)</w:t>
            </w:r>
          </w:p>
          <w:p w:rsidR="008C39E9" w:rsidRPr="00EC7AC1" w:rsidRDefault="008C39E9" w:rsidP="00FB6668">
            <w:pPr>
              <w:jc w:val="center"/>
              <w:rPr>
                <w:kern w:val="1"/>
              </w:rPr>
            </w:pPr>
            <w:r w:rsidRPr="00EC7AC1">
              <w:rPr>
                <w:kern w:val="1"/>
              </w:rPr>
              <w:t>14 (37,8)</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r w:rsidRPr="00EC7AC1">
              <w:rPr>
                <w:kern w:val="1"/>
              </w:rPr>
              <w:t>Incontinência fecal</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29 (78,4)</w:t>
            </w:r>
          </w:p>
          <w:p w:rsidR="008C39E9" w:rsidRPr="00EC7AC1" w:rsidRDefault="008C39E9" w:rsidP="00FB6668">
            <w:pPr>
              <w:jc w:val="center"/>
              <w:rPr>
                <w:kern w:val="1"/>
              </w:rPr>
            </w:pPr>
            <w:r w:rsidRPr="00EC7AC1">
              <w:rPr>
                <w:kern w:val="1"/>
              </w:rPr>
              <w:t>8 (21,6)</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r w:rsidRPr="00EC7AC1">
              <w:rPr>
                <w:kern w:val="1"/>
              </w:rPr>
              <w:t>Constipação intestinal</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21 (56,8)</w:t>
            </w:r>
          </w:p>
          <w:p w:rsidR="008C39E9" w:rsidRPr="00EC7AC1" w:rsidRDefault="008C39E9" w:rsidP="00FB6668">
            <w:pPr>
              <w:jc w:val="center"/>
              <w:rPr>
                <w:kern w:val="1"/>
              </w:rPr>
            </w:pPr>
            <w:r w:rsidRPr="00EC7AC1">
              <w:rPr>
                <w:kern w:val="1"/>
              </w:rPr>
              <w:t>16 (43,2)</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26 (70,3)</w:t>
            </w:r>
          </w:p>
          <w:p w:rsidR="008C39E9" w:rsidRPr="00EC7AC1" w:rsidRDefault="008C39E9" w:rsidP="00FB6668">
            <w:pPr>
              <w:jc w:val="center"/>
              <w:rPr>
                <w:kern w:val="1"/>
              </w:rPr>
            </w:pPr>
            <w:r w:rsidRPr="00EC7AC1">
              <w:rPr>
                <w:kern w:val="1"/>
              </w:rPr>
              <w:t>11 (29,7)</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kern w:val="1"/>
              </w:rPr>
              <w:t>0,22</w:t>
            </w:r>
          </w:p>
        </w:tc>
      </w:tr>
      <w:tr w:rsidR="008C39E9" w:rsidRPr="00EC7AC1" w:rsidTr="00FB6668">
        <w:tc>
          <w:tcPr>
            <w:tcW w:w="3545" w:type="dxa"/>
          </w:tcPr>
          <w:p w:rsidR="008C39E9" w:rsidRPr="00EC7AC1" w:rsidRDefault="008C39E9" w:rsidP="00FB6668">
            <w:pPr>
              <w:jc w:val="both"/>
              <w:rPr>
                <w:kern w:val="1"/>
              </w:rPr>
            </w:pPr>
            <w:r w:rsidRPr="00EC7AC1">
              <w:rPr>
                <w:kern w:val="1"/>
              </w:rPr>
              <w:t>Tenesmo</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33 (89,2)</w:t>
            </w:r>
          </w:p>
          <w:p w:rsidR="008C39E9" w:rsidRPr="00EC7AC1" w:rsidRDefault="008C39E9" w:rsidP="00FB6668">
            <w:pPr>
              <w:jc w:val="center"/>
              <w:rPr>
                <w:kern w:val="1"/>
              </w:rPr>
            </w:pPr>
            <w:r w:rsidRPr="00EC7AC1">
              <w:rPr>
                <w:kern w:val="1"/>
              </w:rPr>
              <w:t>4 (10,8)</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kern w:val="1"/>
              </w:rPr>
              <w:t>0,11</w:t>
            </w:r>
          </w:p>
        </w:tc>
      </w:tr>
      <w:tr w:rsidR="008C39E9" w:rsidRPr="00EC7AC1" w:rsidTr="00FB6668">
        <w:tc>
          <w:tcPr>
            <w:tcW w:w="3545" w:type="dxa"/>
          </w:tcPr>
          <w:p w:rsidR="008C39E9" w:rsidRPr="00EC7AC1" w:rsidRDefault="008C39E9" w:rsidP="00FB6668">
            <w:pPr>
              <w:jc w:val="both"/>
              <w:rPr>
                <w:kern w:val="1"/>
              </w:rPr>
            </w:pPr>
            <w:r w:rsidRPr="00EC7AC1">
              <w:rPr>
                <w:kern w:val="1"/>
              </w:rPr>
              <w:t>Dor anal</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29 (78,4)</w:t>
            </w:r>
          </w:p>
          <w:p w:rsidR="008C39E9" w:rsidRPr="00EC7AC1" w:rsidRDefault="008C39E9" w:rsidP="00FB6668">
            <w:pPr>
              <w:jc w:val="center"/>
              <w:rPr>
                <w:kern w:val="1"/>
              </w:rPr>
            </w:pPr>
            <w:r w:rsidRPr="00EC7AC1">
              <w:rPr>
                <w:kern w:val="1"/>
              </w:rPr>
              <w:t>8 (21,6)</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r w:rsidRPr="00EC7AC1">
              <w:rPr>
                <w:kern w:val="1"/>
              </w:rPr>
              <w:t>Muco anal</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30 (81,1)</w:t>
            </w:r>
          </w:p>
          <w:p w:rsidR="008C39E9" w:rsidRPr="00EC7AC1" w:rsidRDefault="008C39E9" w:rsidP="00FB6668">
            <w:pPr>
              <w:jc w:val="center"/>
              <w:rPr>
                <w:kern w:val="1"/>
              </w:rPr>
            </w:pPr>
            <w:r w:rsidRPr="00EC7AC1">
              <w:rPr>
                <w:kern w:val="1"/>
              </w:rPr>
              <w:t>7 (18,9)</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center"/>
              <w:rPr>
                <w:kern w:val="1"/>
              </w:rPr>
            </w:pPr>
          </w:p>
          <w:p w:rsidR="008C39E9" w:rsidRPr="00FB6668" w:rsidRDefault="008C39E9" w:rsidP="00FB6668">
            <w:pPr>
              <w:jc w:val="center"/>
              <w:rPr>
                <w:kern w:val="1"/>
              </w:rPr>
            </w:pPr>
            <w:r w:rsidRPr="00FB6668">
              <w:rPr>
                <w:kern w:val="1"/>
              </w:rPr>
              <w:t>0,01</w:t>
            </w:r>
          </w:p>
        </w:tc>
      </w:tr>
      <w:tr w:rsidR="008C39E9" w:rsidRPr="00EC7AC1" w:rsidTr="00FB6668">
        <w:tc>
          <w:tcPr>
            <w:tcW w:w="3545" w:type="dxa"/>
          </w:tcPr>
          <w:p w:rsidR="008C39E9" w:rsidRPr="00EC7AC1" w:rsidRDefault="008C39E9" w:rsidP="00FB6668">
            <w:pPr>
              <w:jc w:val="both"/>
              <w:rPr>
                <w:kern w:val="1"/>
              </w:rPr>
            </w:pPr>
            <w:proofErr w:type="spellStart"/>
            <w:r w:rsidRPr="00EC7AC1">
              <w:rPr>
                <w:kern w:val="1"/>
              </w:rPr>
              <w:t>Enterorragia</w:t>
            </w:r>
            <w:proofErr w:type="spellEnd"/>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p w:rsidR="008C39E9" w:rsidRPr="00EC7AC1" w:rsidRDefault="008C39E9" w:rsidP="00FB6668">
            <w:pPr>
              <w:ind w:firstLine="318"/>
              <w:jc w:val="both"/>
              <w:rPr>
                <w:kern w:val="1"/>
              </w:rPr>
            </w:pP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28 (75,7)</w:t>
            </w:r>
          </w:p>
          <w:p w:rsidR="008C39E9" w:rsidRPr="00EC7AC1" w:rsidRDefault="008C39E9" w:rsidP="00FB6668">
            <w:pPr>
              <w:jc w:val="center"/>
              <w:rPr>
                <w:kern w:val="1"/>
              </w:rPr>
            </w:pPr>
            <w:r w:rsidRPr="00EC7AC1">
              <w:rPr>
                <w:kern w:val="1"/>
              </w:rPr>
              <w:t>9 (24,3)</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both"/>
              <w:rPr>
                <w:bCs/>
                <w:kern w:val="1"/>
              </w:rPr>
            </w:pPr>
          </w:p>
          <w:p w:rsidR="008C39E9" w:rsidRPr="00FB6668" w:rsidRDefault="008C39E9" w:rsidP="00FB6668">
            <w:pPr>
              <w:jc w:val="center"/>
              <w:rPr>
                <w:kern w:val="1"/>
              </w:rPr>
            </w:pPr>
            <w:r w:rsidRPr="00FB6668">
              <w:rPr>
                <w:bCs/>
                <w:kern w:val="1"/>
              </w:rPr>
              <w:t>˂ 0,01</w:t>
            </w:r>
          </w:p>
        </w:tc>
      </w:tr>
      <w:tr w:rsidR="008C39E9" w:rsidRPr="00EC7AC1" w:rsidTr="00FB6668">
        <w:tc>
          <w:tcPr>
            <w:tcW w:w="3545" w:type="dxa"/>
          </w:tcPr>
          <w:p w:rsidR="008C39E9" w:rsidRPr="00EC7AC1" w:rsidRDefault="008C39E9" w:rsidP="00FB6668">
            <w:pPr>
              <w:jc w:val="both"/>
              <w:rPr>
                <w:kern w:val="1"/>
              </w:rPr>
            </w:pPr>
            <w:r w:rsidRPr="00EC7AC1">
              <w:rPr>
                <w:kern w:val="1"/>
              </w:rPr>
              <w:t>Linfedema membro inferior</w:t>
            </w:r>
          </w:p>
          <w:p w:rsidR="008C39E9" w:rsidRPr="00EC7AC1" w:rsidRDefault="008C39E9" w:rsidP="00FB6668">
            <w:pPr>
              <w:ind w:firstLine="318"/>
              <w:jc w:val="both"/>
              <w:rPr>
                <w:kern w:val="1"/>
              </w:rPr>
            </w:pPr>
            <w:r w:rsidRPr="00EC7AC1">
              <w:rPr>
                <w:kern w:val="1"/>
              </w:rPr>
              <w:t>Não</w:t>
            </w:r>
          </w:p>
          <w:p w:rsidR="008C39E9" w:rsidRPr="00EC7AC1" w:rsidRDefault="008C39E9" w:rsidP="00FB6668">
            <w:pPr>
              <w:ind w:firstLine="318"/>
              <w:jc w:val="both"/>
              <w:rPr>
                <w:kern w:val="1"/>
              </w:rPr>
            </w:pPr>
            <w:r w:rsidRPr="00EC7AC1">
              <w:rPr>
                <w:kern w:val="1"/>
              </w:rPr>
              <w:t>Sim</w:t>
            </w:r>
          </w:p>
        </w:tc>
        <w:tc>
          <w:tcPr>
            <w:tcW w:w="2268"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24 (64,9)</w:t>
            </w:r>
          </w:p>
          <w:p w:rsidR="008C39E9" w:rsidRPr="00EC7AC1" w:rsidRDefault="008C39E9" w:rsidP="00FB6668">
            <w:pPr>
              <w:jc w:val="center"/>
              <w:rPr>
                <w:kern w:val="1"/>
              </w:rPr>
            </w:pPr>
            <w:r w:rsidRPr="00EC7AC1">
              <w:rPr>
                <w:kern w:val="1"/>
              </w:rPr>
              <w:t>13 (35,1)</w:t>
            </w:r>
          </w:p>
        </w:tc>
        <w:tc>
          <w:tcPr>
            <w:tcW w:w="2126" w:type="dxa"/>
          </w:tcPr>
          <w:p w:rsidR="008C39E9" w:rsidRPr="00EC7AC1" w:rsidRDefault="008C39E9" w:rsidP="00FB6668">
            <w:pPr>
              <w:jc w:val="center"/>
              <w:rPr>
                <w:kern w:val="1"/>
              </w:rPr>
            </w:pPr>
          </w:p>
          <w:p w:rsidR="008C39E9" w:rsidRPr="00EC7AC1" w:rsidRDefault="008C39E9" w:rsidP="00FB6668">
            <w:pPr>
              <w:jc w:val="center"/>
              <w:rPr>
                <w:kern w:val="1"/>
              </w:rPr>
            </w:pPr>
            <w:r w:rsidRPr="00EC7AC1">
              <w:rPr>
                <w:kern w:val="1"/>
              </w:rPr>
              <w:t>37 (100)</w:t>
            </w:r>
          </w:p>
          <w:p w:rsidR="008C39E9" w:rsidRPr="00EC7AC1" w:rsidRDefault="008C39E9" w:rsidP="00FB6668">
            <w:pPr>
              <w:jc w:val="center"/>
              <w:rPr>
                <w:kern w:val="1"/>
              </w:rPr>
            </w:pPr>
            <w:r w:rsidRPr="00EC7AC1">
              <w:rPr>
                <w:kern w:val="1"/>
              </w:rPr>
              <w:t>0 (0)</w:t>
            </w:r>
          </w:p>
        </w:tc>
        <w:tc>
          <w:tcPr>
            <w:tcW w:w="993" w:type="dxa"/>
          </w:tcPr>
          <w:p w:rsidR="008C39E9" w:rsidRPr="00FB6668" w:rsidRDefault="008C39E9" w:rsidP="00FB6668">
            <w:pPr>
              <w:jc w:val="both"/>
              <w:rPr>
                <w:bCs/>
                <w:kern w:val="1"/>
              </w:rPr>
            </w:pPr>
          </w:p>
          <w:p w:rsidR="008C39E9" w:rsidRPr="00FB6668" w:rsidRDefault="008C39E9" w:rsidP="00FB6668">
            <w:pPr>
              <w:jc w:val="center"/>
              <w:rPr>
                <w:kern w:val="1"/>
              </w:rPr>
            </w:pPr>
            <w:r w:rsidRPr="00FB6668">
              <w:rPr>
                <w:bCs/>
                <w:kern w:val="1"/>
              </w:rPr>
              <w:t>˂ 0,01</w:t>
            </w:r>
          </w:p>
        </w:tc>
      </w:tr>
    </w:tbl>
    <w:p w:rsidR="00FB6668" w:rsidRDefault="00A9237F">
      <w:pPr>
        <w:spacing w:after="200" w:line="276" w:lineRule="auto"/>
        <w:rPr>
          <w:sz w:val="20"/>
        </w:rPr>
        <w:sectPr w:rsidR="00FB6668" w:rsidSect="008C39E9">
          <w:footerReference w:type="even" r:id="rId8"/>
          <w:footerReference w:type="default" r:id="rId9"/>
          <w:pgSz w:w="11906" w:h="16838" w:code="9"/>
          <w:pgMar w:top="1701" w:right="1701" w:bottom="1701" w:left="1701" w:header="709" w:footer="709" w:gutter="0"/>
          <w:cols w:space="708"/>
          <w:titlePg/>
          <w:docGrid w:linePitch="360"/>
        </w:sectPr>
      </w:pPr>
      <w:r>
        <w:rPr>
          <w:sz w:val="20"/>
        </w:rPr>
        <w:t>Fonte: dos autores (2017)</w:t>
      </w:r>
    </w:p>
    <w:p w:rsidR="008C39E9" w:rsidRPr="00EC7AC1" w:rsidRDefault="008C39E9" w:rsidP="00987B49">
      <w:pPr>
        <w:spacing w:after="200" w:line="276" w:lineRule="auto"/>
        <w:jc w:val="center"/>
      </w:pPr>
      <w:r w:rsidRPr="00EC7AC1">
        <w:lastRenderedPageBreak/>
        <w:t>Tabela 3 – Comparação entre os grupos quanto à qualidade de vida avaliada pelo WHOQOL-</w:t>
      </w:r>
      <w:proofErr w:type="spellStart"/>
      <w:r w:rsidRPr="00EC7AC1">
        <w:t>bref</w:t>
      </w:r>
      <w:proofErr w:type="spellEnd"/>
    </w:p>
    <w:p w:rsidR="008C39E9" w:rsidRPr="00EC7AC1" w:rsidRDefault="008C39E9" w:rsidP="008C39E9">
      <w:pPr>
        <w:tabs>
          <w:tab w:val="center" w:pos="4003"/>
        </w:tabs>
        <w:spacing w:line="360" w:lineRule="auto"/>
      </w:pPr>
    </w:p>
    <w:tbl>
      <w:tblPr>
        <w:tblW w:w="8254" w:type="dxa"/>
        <w:jc w:val="center"/>
        <w:tblBorders>
          <w:top w:val="single" w:sz="12" w:space="0" w:color="auto"/>
          <w:bottom w:val="single" w:sz="12" w:space="0" w:color="auto"/>
        </w:tblBorders>
        <w:tblLook w:val="00A0" w:firstRow="1" w:lastRow="0" w:firstColumn="1" w:lastColumn="0" w:noHBand="0" w:noVBand="0"/>
      </w:tblPr>
      <w:tblGrid>
        <w:gridCol w:w="2835"/>
        <w:gridCol w:w="2126"/>
        <w:gridCol w:w="2268"/>
        <w:gridCol w:w="1025"/>
      </w:tblGrid>
      <w:tr w:rsidR="008C39E9" w:rsidRPr="00EC7AC1" w:rsidTr="00FB6668">
        <w:trPr>
          <w:jc w:val="center"/>
        </w:trPr>
        <w:tc>
          <w:tcPr>
            <w:tcW w:w="2835" w:type="dxa"/>
            <w:tcBorders>
              <w:bottom w:val="single" w:sz="4" w:space="0" w:color="auto"/>
            </w:tcBorders>
            <w:shd w:val="clear" w:color="auto" w:fill="auto"/>
            <w:vAlign w:val="center"/>
          </w:tcPr>
          <w:p w:rsidR="008C39E9" w:rsidRPr="00FB6668" w:rsidRDefault="008C39E9" w:rsidP="00FB6668">
            <w:pPr>
              <w:spacing w:line="360" w:lineRule="auto"/>
              <w:rPr>
                <w:kern w:val="1"/>
              </w:rPr>
            </w:pPr>
            <w:r w:rsidRPr="00FB6668">
              <w:rPr>
                <w:kern w:val="1"/>
              </w:rPr>
              <w:t>WHOQOL-</w:t>
            </w:r>
            <w:proofErr w:type="spellStart"/>
            <w:r w:rsidRPr="00FB6668">
              <w:rPr>
                <w:kern w:val="1"/>
              </w:rPr>
              <w:t>bref</w:t>
            </w:r>
            <w:proofErr w:type="spellEnd"/>
          </w:p>
        </w:tc>
        <w:tc>
          <w:tcPr>
            <w:tcW w:w="2126" w:type="dxa"/>
            <w:tcBorders>
              <w:bottom w:val="single" w:sz="4" w:space="0" w:color="auto"/>
            </w:tcBorders>
            <w:shd w:val="clear" w:color="auto" w:fill="auto"/>
            <w:vAlign w:val="center"/>
          </w:tcPr>
          <w:p w:rsidR="008C39E9" w:rsidRPr="00FB6668" w:rsidRDefault="008C39E9" w:rsidP="00FB6668">
            <w:pPr>
              <w:spacing w:line="360" w:lineRule="auto"/>
              <w:jc w:val="center"/>
              <w:rPr>
                <w:kern w:val="1"/>
              </w:rPr>
            </w:pPr>
            <w:r w:rsidRPr="00FB6668">
              <w:rPr>
                <w:kern w:val="1"/>
              </w:rPr>
              <w:t>Grupo Câncer</w:t>
            </w:r>
          </w:p>
          <w:p w:rsidR="008C39E9" w:rsidRPr="00FB6668" w:rsidRDefault="008C39E9" w:rsidP="00FB6668">
            <w:pPr>
              <w:spacing w:line="360" w:lineRule="auto"/>
              <w:jc w:val="center"/>
              <w:rPr>
                <w:kern w:val="1"/>
              </w:rPr>
            </w:pPr>
            <w:r w:rsidRPr="00FB6668">
              <w:rPr>
                <w:kern w:val="1"/>
              </w:rPr>
              <w:t>Média ± DP</w:t>
            </w:r>
          </w:p>
        </w:tc>
        <w:tc>
          <w:tcPr>
            <w:tcW w:w="2268" w:type="dxa"/>
            <w:tcBorders>
              <w:bottom w:val="single" w:sz="4" w:space="0" w:color="auto"/>
            </w:tcBorders>
            <w:shd w:val="clear" w:color="auto" w:fill="auto"/>
            <w:vAlign w:val="center"/>
          </w:tcPr>
          <w:p w:rsidR="008C39E9" w:rsidRPr="00FB6668" w:rsidRDefault="008C39E9" w:rsidP="00FB6668">
            <w:pPr>
              <w:spacing w:line="360" w:lineRule="auto"/>
              <w:jc w:val="center"/>
              <w:rPr>
                <w:kern w:val="1"/>
              </w:rPr>
            </w:pPr>
            <w:r w:rsidRPr="00FB6668">
              <w:rPr>
                <w:kern w:val="1"/>
              </w:rPr>
              <w:t>Grupo Controle</w:t>
            </w:r>
          </w:p>
          <w:p w:rsidR="008C39E9" w:rsidRPr="00FB6668" w:rsidRDefault="008C39E9" w:rsidP="00FB6668">
            <w:pPr>
              <w:spacing w:line="360" w:lineRule="auto"/>
              <w:jc w:val="center"/>
              <w:rPr>
                <w:kern w:val="1"/>
              </w:rPr>
            </w:pPr>
            <w:r w:rsidRPr="00FB6668">
              <w:rPr>
                <w:kern w:val="1"/>
              </w:rPr>
              <w:t>Média ± DP</w:t>
            </w:r>
          </w:p>
        </w:tc>
        <w:tc>
          <w:tcPr>
            <w:tcW w:w="1025" w:type="dxa"/>
            <w:tcBorders>
              <w:bottom w:val="single" w:sz="4" w:space="0" w:color="auto"/>
            </w:tcBorders>
            <w:shd w:val="clear" w:color="auto" w:fill="auto"/>
            <w:vAlign w:val="center"/>
          </w:tcPr>
          <w:p w:rsidR="008C39E9" w:rsidRPr="00FB6668" w:rsidRDefault="008C39E9" w:rsidP="00FB6668">
            <w:pPr>
              <w:spacing w:line="360" w:lineRule="auto"/>
              <w:rPr>
                <w:kern w:val="1"/>
              </w:rPr>
            </w:pPr>
            <w:r w:rsidRPr="00FB6668">
              <w:rPr>
                <w:kern w:val="1"/>
              </w:rPr>
              <w:t>p-valor</w:t>
            </w:r>
          </w:p>
        </w:tc>
      </w:tr>
      <w:tr w:rsidR="008C39E9" w:rsidRPr="00EC7AC1" w:rsidTr="00FB6668">
        <w:trPr>
          <w:jc w:val="center"/>
        </w:trPr>
        <w:tc>
          <w:tcPr>
            <w:tcW w:w="2835" w:type="dxa"/>
            <w:tcBorders>
              <w:top w:val="single" w:sz="4" w:space="0" w:color="auto"/>
            </w:tcBorders>
            <w:shd w:val="clear" w:color="auto" w:fill="auto"/>
          </w:tcPr>
          <w:p w:rsidR="008C39E9" w:rsidRPr="00EC7AC1" w:rsidRDefault="008C39E9" w:rsidP="00FB6668">
            <w:pPr>
              <w:spacing w:before="240" w:line="360" w:lineRule="auto"/>
              <w:rPr>
                <w:kern w:val="1"/>
              </w:rPr>
            </w:pPr>
            <w:r w:rsidRPr="00EC7AC1">
              <w:rPr>
                <w:kern w:val="1"/>
              </w:rPr>
              <w:t>Percepção QV</w:t>
            </w:r>
          </w:p>
        </w:tc>
        <w:tc>
          <w:tcPr>
            <w:tcW w:w="2126" w:type="dxa"/>
            <w:tcBorders>
              <w:top w:val="single" w:sz="4" w:space="0" w:color="auto"/>
            </w:tcBorders>
            <w:shd w:val="clear" w:color="auto" w:fill="auto"/>
            <w:vAlign w:val="center"/>
          </w:tcPr>
          <w:p w:rsidR="008C39E9" w:rsidRPr="00EC7AC1" w:rsidRDefault="008C39E9" w:rsidP="00FB6668">
            <w:pPr>
              <w:spacing w:before="240" w:line="360" w:lineRule="auto"/>
              <w:jc w:val="center"/>
              <w:rPr>
                <w:kern w:val="1"/>
              </w:rPr>
            </w:pPr>
            <w:r w:rsidRPr="00EC7AC1">
              <w:rPr>
                <w:kern w:val="1"/>
              </w:rPr>
              <w:t>77,70 ± 19,35</w:t>
            </w:r>
          </w:p>
        </w:tc>
        <w:tc>
          <w:tcPr>
            <w:tcW w:w="2268" w:type="dxa"/>
            <w:tcBorders>
              <w:top w:val="single" w:sz="4" w:space="0" w:color="auto"/>
            </w:tcBorders>
            <w:shd w:val="clear" w:color="auto" w:fill="auto"/>
            <w:vAlign w:val="center"/>
          </w:tcPr>
          <w:p w:rsidR="008C39E9" w:rsidRPr="00EC7AC1" w:rsidRDefault="008C39E9" w:rsidP="00FB6668">
            <w:pPr>
              <w:spacing w:before="240" w:line="360" w:lineRule="auto"/>
              <w:jc w:val="center"/>
              <w:rPr>
                <w:kern w:val="1"/>
              </w:rPr>
            </w:pPr>
            <w:r w:rsidRPr="00EC7AC1">
              <w:rPr>
                <w:kern w:val="1"/>
              </w:rPr>
              <w:t>76,35 ±17,62</w:t>
            </w:r>
          </w:p>
        </w:tc>
        <w:tc>
          <w:tcPr>
            <w:tcW w:w="1025" w:type="dxa"/>
            <w:tcBorders>
              <w:top w:val="single" w:sz="4" w:space="0" w:color="auto"/>
            </w:tcBorders>
            <w:shd w:val="clear" w:color="auto" w:fill="auto"/>
            <w:vAlign w:val="center"/>
          </w:tcPr>
          <w:p w:rsidR="008C39E9" w:rsidRPr="00EC7AC1" w:rsidRDefault="008C39E9" w:rsidP="00FB6668">
            <w:pPr>
              <w:spacing w:before="240" w:line="360" w:lineRule="auto"/>
              <w:jc w:val="center"/>
              <w:rPr>
                <w:kern w:val="1"/>
              </w:rPr>
            </w:pPr>
            <w:r w:rsidRPr="00EC7AC1">
              <w:rPr>
                <w:kern w:val="1"/>
              </w:rPr>
              <w:t>0,65</w:t>
            </w:r>
          </w:p>
        </w:tc>
      </w:tr>
      <w:tr w:rsidR="008C39E9" w:rsidRPr="00EC7AC1" w:rsidTr="00FB6668">
        <w:trPr>
          <w:jc w:val="center"/>
        </w:trPr>
        <w:tc>
          <w:tcPr>
            <w:tcW w:w="2835" w:type="dxa"/>
            <w:shd w:val="clear" w:color="auto" w:fill="auto"/>
          </w:tcPr>
          <w:p w:rsidR="008C39E9" w:rsidRPr="00EC7AC1" w:rsidRDefault="008C39E9" w:rsidP="00FB6668">
            <w:pPr>
              <w:spacing w:before="240" w:line="360" w:lineRule="auto"/>
              <w:rPr>
                <w:kern w:val="1"/>
              </w:rPr>
            </w:pPr>
            <w:r w:rsidRPr="00EC7AC1">
              <w:rPr>
                <w:kern w:val="1"/>
              </w:rPr>
              <w:t>Satisfação Saúde</w:t>
            </w:r>
          </w:p>
        </w:tc>
        <w:tc>
          <w:tcPr>
            <w:tcW w:w="2126" w:type="dxa"/>
            <w:shd w:val="clear" w:color="auto" w:fill="auto"/>
            <w:vAlign w:val="center"/>
          </w:tcPr>
          <w:p w:rsidR="008C39E9" w:rsidRPr="00EC7AC1" w:rsidRDefault="008C39E9" w:rsidP="00FB6668">
            <w:pPr>
              <w:spacing w:before="240" w:line="360" w:lineRule="auto"/>
              <w:jc w:val="center"/>
              <w:rPr>
                <w:kern w:val="1"/>
              </w:rPr>
            </w:pPr>
            <w:r w:rsidRPr="00EC7AC1">
              <w:rPr>
                <w:kern w:val="1"/>
              </w:rPr>
              <w:t>78,37 ± 25,11</w:t>
            </w:r>
          </w:p>
        </w:tc>
        <w:tc>
          <w:tcPr>
            <w:tcW w:w="2268" w:type="dxa"/>
            <w:shd w:val="clear" w:color="auto" w:fill="auto"/>
            <w:vAlign w:val="center"/>
          </w:tcPr>
          <w:p w:rsidR="008C39E9" w:rsidRPr="00EC7AC1" w:rsidRDefault="008C39E9" w:rsidP="00FB6668">
            <w:pPr>
              <w:spacing w:before="240" w:line="360" w:lineRule="auto"/>
              <w:jc w:val="center"/>
              <w:rPr>
                <w:kern w:val="1"/>
              </w:rPr>
            </w:pPr>
            <w:r w:rsidRPr="00EC7AC1">
              <w:rPr>
                <w:kern w:val="1"/>
              </w:rPr>
              <w:t>75,67 ± 23,19</w:t>
            </w:r>
          </w:p>
        </w:tc>
        <w:tc>
          <w:tcPr>
            <w:tcW w:w="1025" w:type="dxa"/>
            <w:shd w:val="clear" w:color="auto" w:fill="auto"/>
            <w:vAlign w:val="center"/>
          </w:tcPr>
          <w:p w:rsidR="008C39E9" w:rsidRPr="00EC7AC1" w:rsidRDefault="008C39E9" w:rsidP="00FB6668">
            <w:pPr>
              <w:spacing w:before="240" w:line="360" w:lineRule="auto"/>
              <w:jc w:val="center"/>
              <w:rPr>
                <w:kern w:val="1"/>
              </w:rPr>
            </w:pPr>
            <w:r w:rsidRPr="00EC7AC1">
              <w:rPr>
                <w:kern w:val="1"/>
              </w:rPr>
              <w:t>0,41</w:t>
            </w:r>
          </w:p>
        </w:tc>
      </w:tr>
      <w:tr w:rsidR="008C39E9" w:rsidRPr="00EC7AC1" w:rsidTr="00FB6668">
        <w:trPr>
          <w:jc w:val="center"/>
        </w:trPr>
        <w:tc>
          <w:tcPr>
            <w:tcW w:w="2835" w:type="dxa"/>
            <w:shd w:val="clear" w:color="auto" w:fill="auto"/>
          </w:tcPr>
          <w:p w:rsidR="008C39E9" w:rsidRPr="00EC7AC1" w:rsidRDefault="008C39E9" w:rsidP="00FB6668">
            <w:pPr>
              <w:spacing w:before="240" w:line="360" w:lineRule="auto"/>
              <w:rPr>
                <w:kern w:val="1"/>
              </w:rPr>
            </w:pPr>
            <w:r w:rsidRPr="00EC7AC1">
              <w:rPr>
                <w:kern w:val="1"/>
              </w:rPr>
              <w:t>Domínio Físico</w:t>
            </w:r>
          </w:p>
        </w:tc>
        <w:tc>
          <w:tcPr>
            <w:tcW w:w="2126" w:type="dxa"/>
            <w:shd w:val="clear" w:color="auto" w:fill="auto"/>
            <w:vAlign w:val="center"/>
          </w:tcPr>
          <w:p w:rsidR="008C39E9" w:rsidRPr="00EC7AC1" w:rsidRDefault="008C39E9" w:rsidP="00FB6668">
            <w:pPr>
              <w:spacing w:before="240" w:line="360" w:lineRule="auto"/>
              <w:jc w:val="center"/>
              <w:rPr>
                <w:kern w:val="1"/>
              </w:rPr>
            </w:pPr>
            <w:r w:rsidRPr="00EC7AC1">
              <w:rPr>
                <w:kern w:val="1"/>
              </w:rPr>
              <w:t>69,18 ± 19,25</w:t>
            </w:r>
          </w:p>
        </w:tc>
        <w:tc>
          <w:tcPr>
            <w:tcW w:w="2268" w:type="dxa"/>
            <w:shd w:val="clear" w:color="auto" w:fill="auto"/>
            <w:vAlign w:val="center"/>
          </w:tcPr>
          <w:p w:rsidR="008C39E9" w:rsidRPr="00EC7AC1" w:rsidRDefault="008C39E9" w:rsidP="00FB6668">
            <w:pPr>
              <w:spacing w:before="240" w:line="360" w:lineRule="auto"/>
              <w:jc w:val="center"/>
              <w:rPr>
                <w:kern w:val="1"/>
              </w:rPr>
            </w:pPr>
            <w:r w:rsidRPr="00EC7AC1">
              <w:rPr>
                <w:kern w:val="1"/>
              </w:rPr>
              <w:t>78,24 ± 17,05</w:t>
            </w:r>
          </w:p>
        </w:tc>
        <w:tc>
          <w:tcPr>
            <w:tcW w:w="1025" w:type="dxa"/>
            <w:shd w:val="clear" w:color="auto" w:fill="auto"/>
            <w:vAlign w:val="center"/>
          </w:tcPr>
          <w:p w:rsidR="008C39E9" w:rsidRPr="00FB6668" w:rsidRDefault="008C39E9" w:rsidP="00FB6668">
            <w:pPr>
              <w:spacing w:before="240" w:line="360" w:lineRule="auto"/>
              <w:jc w:val="center"/>
              <w:rPr>
                <w:kern w:val="1"/>
              </w:rPr>
            </w:pPr>
            <w:r w:rsidRPr="00FB6668">
              <w:rPr>
                <w:kern w:val="1"/>
              </w:rPr>
              <w:t>0,03</w:t>
            </w:r>
          </w:p>
        </w:tc>
      </w:tr>
      <w:tr w:rsidR="008C39E9" w:rsidRPr="00EC7AC1" w:rsidTr="00FB6668">
        <w:trPr>
          <w:jc w:val="center"/>
        </w:trPr>
        <w:tc>
          <w:tcPr>
            <w:tcW w:w="2835" w:type="dxa"/>
            <w:shd w:val="clear" w:color="auto" w:fill="auto"/>
          </w:tcPr>
          <w:p w:rsidR="008C39E9" w:rsidRPr="00EC7AC1" w:rsidRDefault="008C39E9" w:rsidP="00FB6668">
            <w:pPr>
              <w:spacing w:before="240" w:line="360" w:lineRule="auto"/>
              <w:rPr>
                <w:kern w:val="1"/>
              </w:rPr>
            </w:pPr>
            <w:r w:rsidRPr="00EC7AC1">
              <w:rPr>
                <w:kern w:val="1"/>
              </w:rPr>
              <w:t>Domínio Psicológico</w:t>
            </w:r>
          </w:p>
        </w:tc>
        <w:tc>
          <w:tcPr>
            <w:tcW w:w="2126" w:type="dxa"/>
            <w:shd w:val="clear" w:color="auto" w:fill="auto"/>
            <w:vAlign w:val="center"/>
          </w:tcPr>
          <w:p w:rsidR="008C39E9" w:rsidRPr="00EC7AC1" w:rsidRDefault="008C39E9" w:rsidP="00FB6668">
            <w:pPr>
              <w:spacing w:before="240" w:line="360" w:lineRule="auto"/>
              <w:jc w:val="center"/>
              <w:rPr>
                <w:kern w:val="1"/>
              </w:rPr>
            </w:pPr>
            <w:r w:rsidRPr="00EC7AC1">
              <w:rPr>
                <w:kern w:val="1"/>
              </w:rPr>
              <w:t>71,93 ± 19,78</w:t>
            </w:r>
          </w:p>
        </w:tc>
        <w:tc>
          <w:tcPr>
            <w:tcW w:w="2268" w:type="dxa"/>
            <w:shd w:val="clear" w:color="auto" w:fill="auto"/>
            <w:vAlign w:val="center"/>
          </w:tcPr>
          <w:p w:rsidR="008C39E9" w:rsidRPr="00EC7AC1" w:rsidRDefault="008C39E9" w:rsidP="00FB6668">
            <w:pPr>
              <w:spacing w:before="240" w:line="360" w:lineRule="auto"/>
              <w:jc w:val="center"/>
              <w:rPr>
                <w:kern w:val="1"/>
              </w:rPr>
            </w:pPr>
            <w:r w:rsidRPr="00EC7AC1">
              <w:rPr>
                <w:kern w:val="1"/>
              </w:rPr>
              <w:t>74,08 ± 17,95</w:t>
            </w:r>
          </w:p>
        </w:tc>
        <w:tc>
          <w:tcPr>
            <w:tcW w:w="1025" w:type="dxa"/>
            <w:shd w:val="clear" w:color="auto" w:fill="auto"/>
            <w:vAlign w:val="center"/>
          </w:tcPr>
          <w:p w:rsidR="008C39E9" w:rsidRPr="00FB6668" w:rsidRDefault="008C39E9" w:rsidP="00FB6668">
            <w:pPr>
              <w:spacing w:before="240" w:line="360" w:lineRule="auto"/>
              <w:jc w:val="center"/>
              <w:rPr>
                <w:kern w:val="1"/>
              </w:rPr>
            </w:pPr>
            <w:r w:rsidRPr="00FB6668">
              <w:rPr>
                <w:kern w:val="1"/>
              </w:rPr>
              <w:t>0,75</w:t>
            </w:r>
          </w:p>
        </w:tc>
      </w:tr>
      <w:tr w:rsidR="008C39E9" w:rsidRPr="00EC7AC1" w:rsidTr="00FB6668">
        <w:trPr>
          <w:jc w:val="center"/>
        </w:trPr>
        <w:tc>
          <w:tcPr>
            <w:tcW w:w="2835" w:type="dxa"/>
            <w:shd w:val="clear" w:color="auto" w:fill="auto"/>
          </w:tcPr>
          <w:p w:rsidR="008C39E9" w:rsidRPr="00EC7AC1" w:rsidRDefault="008C39E9" w:rsidP="00FB6668">
            <w:pPr>
              <w:spacing w:before="240" w:line="360" w:lineRule="auto"/>
              <w:rPr>
                <w:kern w:val="1"/>
              </w:rPr>
            </w:pPr>
            <w:r w:rsidRPr="00EC7AC1">
              <w:rPr>
                <w:kern w:val="1"/>
              </w:rPr>
              <w:t>Domínio Relações Sociais</w:t>
            </w:r>
          </w:p>
        </w:tc>
        <w:tc>
          <w:tcPr>
            <w:tcW w:w="2126" w:type="dxa"/>
            <w:shd w:val="clear" w:color="auto" w:fill="auto"/>
            <w:vAlign w:val="center"/>
          </w:tcPr>
          <w:p w:rsidR="008C39E9" w:rsidRPr="00EC7AC1" w:rsidRDefault="008C39E9" w:rsidP="00FB6668">
            <w:pPr>
              <w:spacing w:before="240" w:line="360" w:lineRule="auto"/>
              <w:jc w:val="center"/>
              <w:rPr>
                <w:kern w:val="1"/>
              </w:rPr>
            </w:pPr>
            <w:r w:rsidRPr="00EC7AC1">
              <w:rPr>
                <w:kern w:val="1"/>
              </w:rPr>
              <w:t>73,62 ± 18,66</w:t>
            </w:r>
          </w:p>
        </w:tc>
        <w:tc>
          <w:tcPr>
            <w:tcW w:w="2268" w:type="dxa"/>
            <w:shd w:val="clear" w:color="auto" w:fill="auto"/>
            <w:vAlign w:val="center"/>
          </w:tcPr>
          <w:p w:rsidR="008C39E9" w:rsidRPr="00EC7AC1" w:rsidRDefault="008C39E9" w:rsidP="00FB6668">
            <w:pPr>
              <w:spacing w:before="240" w:line="360" w:lineRule="auto"/>
              <w:jc w:val="center"/>
              <w:rPr>
                <w:kern w:val="1"/>
              </w:rPr>
            </w:pPr>
            <w:r w:rsidRPr="00EC7AC1">
              <w:rPr>
                <w:kern w:val="1"/>
              </w:rPr>
              <w:t>82,64 ± 15,01</w:t>
            </w:r>
          </w:p>
        </w:tc>
        <w:tc>
          <w:tcPr>
            <w:tcW w:w="1025" w:type="dxa"/>
            <w:shd w:val="clear" w:color="auto" w:fill="auto"/>
            <w:vAlign w:val="center"/>
          </w:tcPr>
          <w:p w:rsidR="008C39E9" w:rsidRPr="00FB6668" w:rsidRDefault="008C39E9" w:rsidP="00FB6668">
            <w:pPr>
              <w:spacing w:before="240" w:line="360" w:lineRule="auto"/>
              <w:jc w:val="center"/>
              <w:rPr>
                <w:kern w:val="1"/>
              </w:rPr>
            </w:pPr>
            <w:r w:rsidRPr="00FB6668">
              <w:rPr>
                <w:kern w:val="1"/>
              </w:rPr>
              <w:t>0,01</w:t>
            </w:r>
          </w:p>
        </w:tc>
      </w:tr>
      <w:tr w:rsidR="008C39E9" w:rsidRPr="00EC7AC1" w:rsidTr="00FB6668">
        <w:trPr>
          <w:jc w:val="center"/>
        </w:trPr>
        <w:tc>
          <w:tcPr>
            <w:tcW w:w="2835" w:type="dxa"/>
            <w:shd w:val="clear" w:color="auto" w:fill="auto"/>
          </w:tcPr>
          <w:p w:rsidR="008C39E9" w:rsidRPr="00EC7AC1" w:rsidRDefault="008C39E9" w:rsidP="00FB6668">
            <w:pPr>
              <w:spacing w:before="240" w:line="360" w:lineRule="auto"/>
              <w:rPr>
                <w:kern w:val="1"/>
              </w:rPr>
            </w:pPr>
            <w:r w:rsidRPr="00EC7AC1">
              <w:rPr>
                <w:kern w:val="1"/>
              </w:rPr>
              <w:t>Domínio Meio Ambiente</w:t>
            </w:r>
          </w:p>
        </w:tc>
        <w:tc>
          <w:tcPr>
            <w:tcW w:w="2126" w:type="dxa"/>
            <w:shd w:val="clear" w:color="auto" w:fill="auto"/>
            <w:vAlign w:val="center"/>
          </w:tcPr>
          <w:p w:rsidR="008C39E9" w:rsidRPr="00EC7AC1" w:rsidRDefault="008C39E9" w:rsidP="00FB6668">
            <w:pPr>
              <w:spacing w:before="240" w:line="360" w:lineRule="auto"/>
              <w:jc w:val="center"/>
              <w:rPr>
                <w:kern w:val="1"/>
              </w:rPr>
            </w:pPr>
            <w:r w:rsidRPr="00EC7AC1">
              <w:rPr>
                <w:kern w:val="1"/>
              </w:rPr>
              <w:t>64,42 ± 14,25</w:t>
            </w:r>
          </w:p>
        </w:tc>
        <w:tc>
          <w:tcPr>
            <w:tcW w:w="2268" w:type="dxa"/>
            <w:shd w:val="clear" w:color="auto" w:fill="auto"/>
            <w:vAlign w:val="center"/>
          </w:tcPr>
          <w:p w:rsidR="008C39E9" w:rsidRPr="00EC7AC1" w:rsidRDefault="008C39E9" w:rsidP="00FB6668">
            <w:pPr>
              <w:spacing w:before="240" w:line="360" w:lineRule="auto"/>
              <w:jc w:val="center"/>
              <w:rPr>
                <w:kern w:val="1"/>
              </w:rPr>
            </w:pPr>
            <w:r w:rsidRPr="00EC7AC1">
              <w:rPr>
                <w:kern w:val="1"/>
              </w:rPr>
              <w:t>68,84 ± 14,16</w:t>
            </w:r>
          </w:p>
        </w:tc>
        <w:tc>
          <w:tcPr>
            <w:tcW w:w="1025" w:type="dxa"/>
            <w:shd w:val="clear" w:color="auto" w:fill="auto"/>
            <w:vAlign w:val="center"/>
          </w:tcPr>
          <w:p w:rsidR="008C39E9" w:rsidRPr="00EC7AC1" w:rsidRDefault="008C39E9" w:rsidP="00FB6668">
            <w:pPr>
              <w:spacing w:before="240" w:line="360" w:lineRule="auto"/>
              <w:jc w:val="center"/>
              <w:rPr>
                <w:kern w:val="1"/>
              </w:rPr>
            </w:pPr>
            <w:r w:rsidRPr="00EC7AC1">
              <w:rPr>
                <w:kern w:val="1"/>
              </w:rPr>
              <w:t>0,11</w:t>
            </w:r>
          </w:p>
        </w:tc>
      </w:tr>
    </w:tbl>
    <w:p w:rsidR="008C39E9" w:rsidRDefault="008C39E9" w:rsidP="00D8668E">
      <w:pPr>
        <w:spacing w:line="360" w:lineRule="auto"/>
        <w:rPr>
          <w:sz w:val="20"/>
        </w:rPr>
      </w:pPr>
      <w:r w:rsidRPr="008C39E9">
        <w:rPr>
          <w:sz w:val="20"/>
        </w:rPr>
        <w:t>Legenda:</w:t>
      </w:r>
      <w:r w:rsidR="00FB6668">
        <w:rPr>
          <w:sz w:val="20"/>
        </w:rPr>
        <w:t xml:space="preserve"> </w:t>
      </w:r>
      <w:r w:rsidRPr="008C39E9">
        <w:rPr>
          <w:sz w:val="20"/>
        </w:rPr>
        <w:t>DP=desvio-padrão</w:t>
      </w:r>
    </w:p>
    <w:p w:rsidR="008C39E9" w:rsidRDefault="00A9237F" w:rsidP="00D8668E">
      <w:pPr>
        <w:spacing w:line="360" w:lineRule="auto"/>
        <w:rPr>
          <w:sz w:val="20"/>
        </w:rPr>
      </w:pPr>
      <w:r>
        <w:rPr>
          <w:sz w:val="20"/>
        </w:rPr>
        <w:t>Fonte: dos autores (2017</w:t>
      </w:r>
      <w:r w:rsidR="008C39E9">
        <w:rPr>
          <w:sz w:val="20"/>
        </w:rPr>
        <w:t>)</w:t>
      </w:r>
    </w:p>
    <w:p w:rsidR="008C39E9" w:rsidRDefault="008C39E9" w:rsidP="008C39E9">
      <w:pPr>
        <w:spacing w:line="360" w:lineRule="auto"/>
        <w:rPr>
          <w:sz w:val="20"/>
        </w:rPr>
      </w:pPr>
    </w:p>
    <w:p w:rsidR="00FB6668" w:rsidRDefault="00FB6668" w:rsidP="008C39E9">
      <w:pPr>
        <w:autoSpaceDE w:val="0"/>
        <w:autoSpaceDN w:val="0"/>
        <w:adjustRightInd w:val="0"/>
        <w:rPr>
          <w:rFonts w:eastAsiaTheme="minorHAnsi"/>
          <w:lang w:eastAsia="en-US"/>
        </w:rPr>
      </w:pPr>
    </w:p>
    <w:p w:rsidR="00FB6668" w:rsidRDefault="00FB6668" w:rsidP="008C39E9">
      <w:pPr>
        <w:autoSpaceDE w:val="0"/>
        <w:autoSpaceDN w:val="0"/>
        <w:adjustRightInd w:val="0"/>
        <w:rPr>
          <w:rFonts w:eastAsiaTheme="minorHAnsi"/>
          <w:lang w:eastAsia="en-US"/>
        </w:rPr>
      </w:pPr>
    </w:p>
    <w:p w:rsidR="00FB6668" w:rsidRDefault="00FB6668" w:rsidP="008C39E9">
      <w:pPr>
        <w:autoSpaceDE w:val="0"/>
        <w:autoSpaceDN w:val="0"/>
        <w:adjustRightInd w:val="0"/>
        <w:rPr>
          <w:rFonts w:eastAsiaTheme="minorHAnsi"/>
          <w:lang w:eastAsia="en-US"/>
        </w:rPr>
      </w:pPr>
    </w:p>
    <w:p w:rsidR="00FB6668" w:rsidRDefault="00FB6668" w:rsidP="008C39E9">
      <w:pPr>
        <w:autoSpaceDE w:val="0"/>
        <w:autoSpaceDN w:val="0"/>
        <w:adjustRightInd w:val="0"/>
        <w:rPr>
          <w:rFonts w:eastAsiaTheme="minorHAnsi"/>
          <w:lang w:eastAsia="en-US"/>
        </w:rPr>
      </w:pPr>
    </w:p>
    <w:p w:rsidR="00FB6668" w:rsidRDefault="00FB6668" w:rsidP="008C39E9">
      <w:pPr>
        <w:autoSpaceDE w:val="0"/>
        <w:autoSpaceDN w:val="0"/>
        <w:adjustRightInd w:val="0"/>
        <w:rPr>
          <w:rFonts w:eastAsiaTheme="minorHAnsi"/>
          <w:lang w:eastAsia="en-US"/>
        </w:rPr>
      </w:pPr>
    </w:p>
    <w:p w:rsidR="00FB6668" w:rsidRDefault="00FB6668" w:rsidP="008C39E9">
      <w:pPr>
        <w:autoSpaceDE w:val="0"/>
        <w:autoSpaceDN w:val="0"/>
        <w:adjustRightInd w:val="0"/>
        <w:rPr>
          <w:rFonts w:eastAsiaTheme="minorHAnsi"/>
          <w:lang w:eastAsia="en-US"/>
        </w:rPr>
      </w:pPr>
    </w:p>
    <w:p w:rsidR="008C39E9" w:rsidRPr="00EC7AC1" w:rsidRDefault="008C39E9" w:rsidP="00987B49">
      <w:pPr>
        <w:autoSpaceDE w:val="0"/>
        <w:autoSpaceDN w:val="0"/>
        <w:adjustRightInd w:val="0"/>
        <w:jc w:val="center"/>
        <w:rPr>
          <w:rFonts w:eastAsiaTheme="minorHAnsi"/>
          <w:lang w:eastAsia="en-US"/>
        </w:rPr>
      </w:pPr>
      <w:r w:rsidRPr="00EC7AC1">
        <w:rPr>
          <w:rFonts w:eastAsiaTheme="minorHAnsi"/>
          <w:lang w:eastAsia="en-US"/>
        </w:rPr>
        <w:lastRenderedPageBreak/>
        <w:t>Tabela 4 – Regressão linear multivariada (modelo final): influência das variáveis que apresentaram diferença entre os grupos na análise bivariada sobre os domínios “Físico” e “Relações Sociais” do WHOQOL-</w:t>
      </w:r>
      <w:proofErr w:type="spellStart"/>
      <w:r w:rsidRPr="00EC7AC1">
        <w:rPr>
          <w:rFonts w:eastAsiaTheme="minorHAnsi"/>
          <w:lang w:eastAsia="en-US"/>
        </w:rPr>
        <w:t>bref</w:t>
      </w:r>
      <w:proofErr w:type="spellEnd"/>
      <w:r w:rsidRPr="00EC7AC1">
        <w:rPr>
          <w:rFonts w:eastAsiaTheme="minorHAnsi"/>
          <w:lang w:eastAsia="en-US"/>
        </w:rPr>
        <w:t>.</w:t>
      </w:r>
    </w:p>
    <w:p w:rsidR="008C39E9" w:rsidRPr="00EC7AC1" w:rsidRDefault="008C39E9" w:rsidP="008C39E9">
      <w:pPr>
        <w:autoSpaceDE w:val="0"/>
        <w:autoSpaceDN w:val="0"/>
        <w:adjustRightInd w:val="0"/>
        <w:rPr>
          <w:rFonts w:eastAsiaTheme="minorHAnsi"/>
          <w:lang w:eastAsia="en-US"/>
        </w:rPr>
      </w:pPr>
    </w:p>
    <w:tbl>
      <w:tblPr>
        <w:tblStyle w:val="Tabelacomgrade"/>
        <w:tblW w:w="1130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671"/>
        <w:gridCol w:w="1551"/>
        <w:gridCol w:w="3015"/>
        <w:gridCol w:w="1418"/>
      </w:tblGrid>
      <w:tr w:rsidR="008C39E9" w:rsidRPr="00EC7AC1" w:rsidTr="00FB6668">
        <w:trPr>
          <w:trHeight w:val="285"/>
        </w:trPr>
        <w:tc>
          <w:tcPr>
            <w:tcW w:w="3652" w:type="dxa"/>
            <w:tcBorders>
              <w:bottom w:val="single" w:sz="4" w:space="0" w:color="auto"/>
            </w:tcBorders>
          </w:tcPr>
          <w:p w:rsidR="008C39E9" w:rsidRPr="009160A8" w:rsidRDefault="008C39E9" w:rsidP="00FB6668">
            <w:pPr>
              <w:tabs>
                <w:tab w:val="center" w:pos="4003"/>
              </w:tabs>
              <w:spacing w:line="360" w:lineRule="auto"/>
            </w:pPr>
            <w:r w:rsidRPr="009160A8">
              <w:t>Variáveis independentes</w:t>
            </w:r>
          </w:p>
        </w:tc>
        <w:tc>
          <w:tcPr>
            <w:tcW w:w="1671" w:type="dxa"/>
            <w:tcBorders>
              <w:bottom w:val="single" w:sz="4" w:space="0" w:color="auto"/>
            </w:tcBorders>
          </w:tcPr>
          <w:p w:rsidR="008C39E9" w:rsidRPr="009160A8" w:rsidRDefault="008C39E9" w:rsidP="00FB6668">
            <w:pPr>
              <w:tabs>
                <w:tab w:val="center" w:pos="4003"/>
              </w:tabs>
              <w:spacing w:line="360" w:lineRule="auto"/>
              <w:rPr>
                <w:rFonts w:eastAsiaTheme="minorHAnsi"/>
                <w:bCs/>
                <w:lang w:eastAsia="en-US"/>
              </w:rPr>
            </w:pPr>
            <w:r w:rsidRPr="009160A8">
              <w:t>R</w:t>
            </w:r>
            <w:r w:rsidRPr="009160A8">
              <w:rPr>
                <w:vertAlign w:val="superscript"/>
              </w:rPr>
              <w:t>2</w:t>
            </w:r>
          </w:p>
        </w:tc>
        <w:tc>
          <w:tcPr>
            <w:tcW w:w="1551" w:type="dxa"/>
            <w:tcBorders>
              <w:bottom w:val="single" w:sz="4" w:space="0" w:color="auto"/>
            </w:tcBorders>
          </w:tcPr>
          <w:p w:rsidR="008C39E9" w:rsidRPr="009160A8" w:rsidRDefault="008C39E9" w:rsidP="00FB6668">
            <w:pPr>
              <w:tabs>
                <w:tab w:val="center" w:pos="4003"/>
              </w:tabs>
              <w:spacing w:line="360" w:lineRule="auto"/>
              <w:jc w:val="center"/>
            </w:pPr>
            <w:r w:rsidRPr="009160A8">
              <w:rPr>
                <w:rFonts w:eastAsiaTheme="minorHAnsi"/>
                <w:bCs/>
                <w:lang w:eastAsia="en-US"/>
              </w:rPr>
              <w:t xml:space="preserve">Coeficiente </w:t>
            </w:r>
            <w:r w:rsidRPr="009160A8">
              <w:rPr>
                <w:rFonts w:eastAsia="Arial-BoldMT"/>
                <w:bCs/>
                <w:lang w:eastAsia="en-US"/>
              </w:rPr>
              <w:t>β</w:t>
            </w:r>
          </w:p>
        </w:tc>
        <w:tc>
          <w:tcPr>
            <w:tcW w:w="3015" w:type="dxa"/>
            <w:tcBorders>
              <w:bottom w:val="single" w:sz="4" w:space="0" w:color="auto"/>
            </w:tcBorders>
          </w:tcPr>
          <w:p w:rsidR="008C39E9" w:rsidRPr="009160A8" w:rsidRDefault="008C39E9" w:rsidP="00FB6668">
            <w:pPr>
              <w:tabs>
                <w:tab w:val="center" w:pos="4003"/>
              </w:tabs>
              <w:spacing w:line="360" w:lineRule="auto"/>
              <w:jc w:val="center"/>
            </w:pPr>
            <w:r w:rsidRPr="009160A8">
              <w:t>Intervalo de confiança</w:t>
            </w:r>
          </w:p>
        </w:tc>
        <w:tc>
          <w:tcPr>
            <w:tcW w:w="1418" w:type="dxa"/>
            <w:tcBorders>
              <w:bottom w:val="single" w:sz="4" w:space="0" w:color="auto"/>
            </w:tcBorders>
          </w:tcPr>
          <w:p w:rsidR="008C39E9" w:rsidRPr="009160A8" w:rsidRDefault="008C39E9" w:rsidP="00FB6668">
            <w:pPr>
              <w:tabs>
                <w:tab w:val="center" w:pos="4003"/>
              </w:tabs>
              <w:spacing w:line="360" w:lineRule="auto"/>
              <w:jc w:val="center"/>
            </w:pPr>
            <w:r w:rsidRPr="009160A8">
              <w:t>p-valor</w:t>
            </w:r>
          </w:p>
        </w:tc>
      </w:tr>
      <w:tr w:rsidR="008C39E9" w:rsidRPr="00EC7AC1" w:rsidTr="00FB6668">
        <w:trPr>
          <w:trHeight w:val="132"/>
        </w:trPr>
        <w:tc>
          <w:tcPr>
            <w:tcW w:w="3652" w:type="dxa"/>
            <w:tcBorders>
              <w:top w:val="single" w:sz="4" w:space="0" w:color="auto"/>
            </w:tcBorders>
          </w:tcPr>
          <w:p w:rsidR="008C39E9" w:rsidRPr="009160A8" w:rsidRDefault="008C39E9" w:rsidP="00FB6668">
            <w:pPr>
              <w:tabs>
                <w:tab w:val="center" w:pos="4003"/>
              </w:tabs>
              <w:spacing w:line="360" w:lineRule="auto"/>
            </w:pPr>
            <w:r w:rsidRPr="009160A8">
              <w:t>Domínio Físico</w:t>
            </w:r>
          </w:p>
        </w:tc>
        <w:tc>
          <w:tcPr>
            <w:tcW w:w="1671" w:type="dxa"/>
            <w:tcBorders>
              <w:top w:val="single" w:sz="4" w:space="0" w:color="auto"/>
            </w:tcBorders>
          </w:tcPr>
          <w:p w:rsidR="008C39E9" w:rsidRPr="009160A8" w:rsidRDefault="008C39E9" w:rsidP="00FB6668">
            <w:pPr>
              <w:tabs>
                <w:tab w:val="center" w:pos="4003"/>
              </w:tabs>
              <w:spacing w:line="360" w:lineRule="auto"/>
            </w:pPr>
            <w:r w:rsidRPr="009160A8">
              <w:t>0,29</w:t>
            </w:r>
          </w:p>
        </w:tc>
        <w:tc>
          <w:tcPr>
            <w:tcW w:w="1551" w:type="dxa"/>
            <w:tcBorders>
              <w:top w:val="single" w:sz="4" w:space="0" w:color="auto"/>
            </w:tcBorders>
          </w:tcPr>
          <w:p w:rsidR="008C39E9" w:rsidRPr="009160A8" w:rsidRDefault="008C39E9" w:rsidP="00FB6668">
            <w:pPr>
              <w:tabs>
                <w:tab w:val="center" w:pos="4003"/>
              </w:tabs>
              <w:spacing w:line="360" w:lineRule="auto"/>
              <w:jc w:val="center"/>
              <w:rPr>
                <w:rFonts w:eastAsiaTheme="minorHAnsi"/>
                <w:bCs/>
                <w:lang w:eastAsia="en-US"/>
              </w:rPr>
            </w:pPr>
          </w:p>
        </w:tc>
        <w:tc>
          <w:tcPr>
            <w:tcW w:w="3015" w:type="dxa"/>
            <w:tcBorders>
              <w:top w:val="single" w:sz="4" w:space="0" w:color="auto"/>
            </w:tcBorders>
          </w:tcPr>
          <w:p w:rsidR="008C39E9" w:rsidRPr="009160A8" w:rsidRDefault="008C39E9" w:rsidP="00FB6668">
            <w:pPr>
              <w:tabs>
                <w:tab w:val="center" w:pos="4003"/>
              </w:tabs>
              <w:spacing w:line="360" w:lineRule="auto"/>
              <w:jc w:val="center"/>
            </w:pPr>
          </w:p>
        </w:tc>
        <w:tc>
          <w:tcPr>
            <w:tcW w:w="1418" w:type="dxa"/>
            <w:tcBorders>
              <w:top w:val="single" w:sz="4" w:space="0" w:color="auto"/>
            </w:tcBorders>
          </w:tcPr>
          <w:p w:rsidR="008C39E9" w:rsidRPr="009160A8" w:rsidRDefault="00FB6668" w:rsidP="00FB6668">
            <w:pPr>
              <w:tabs>
                <w:tab w:val="center" w:pos="4003"/>
              </w:tabs>
              <w:spacing w:line="360" w:lineRule="auto"/>
            </w:pPr>
            <w:r w:rsidRPr="009160A8">
              <w:t xml:space="preserve">     </w:t>
            </w:r>
            <w:r w:rsidR="008C39E9" w:rsidRPr="009160A8">
              <w:t>&lt;0,001</w:t>
            </w:r>
          </w:p>
        </w:tc>
      </w:tr>
      <w:tr w:rsidR="008C39E9" w:rsidRPr="00EC7AC1" w:rsidTr="00FB6668">
        <w:trPr>
          <w:trHeight w:val="129"/>
        </w:trPr>
        <w:tc>
          <w:tcPr>
            <w:tcW w:w="3652" w:type="dxa"/>
            <w:tcBorders>
              <w:top w:val="single" w:sz="4" w:space="0" w:color="auto"/>
            </w:tcBorders>
          </w:tcPr>
          <w:p w:rsidR="008C39E9" w:rsidRPr="009160A8" w:rsidRDefault="008C39E9" w:rsidP="00FB6668">
            <w:pPr>
              <w:tabs>
                <w:tab w:val="center" w:pos="4003"/>
              </w:tabs>
              <w:spacing w:line="360" w:lineRule="auto"/>
            </w:pPr>
            <w:r w:rsidRPr="009160A8">
              <w:t>Linfedema em membros inferiores</w:t>
            </w:r>
          </w:p>
        </w:tc>
        <w:tc>
          <w:tcPr>
            <w:tcW w:w="1671" w:type="dxa"/>
            <w:tcBorders>
              <w:top w:val="single" w:sz="4" w:space="0" w:color="auto"/>
            </w:tcBorders>
            <w:vAlign w:val="center"/>
          </w:tcPr>
          <w:p w:rsidR="008C39E9" w:rsidRPr="009160A8" w:rsidRDefault="008C39E9" w:rsidP="00FB6668">
            <w:pPr>
              <w:tabs>
                <w:tab w:val="center" w:pos="4003"/>
              </w:tabs>
              <w:spacing w:line="360" w:lineRule="auto"/>
              <w:jc w:val="center"/>
            </w:pPr>
          </w:p>
        </w:tc>
        <w:tc>
          <w:tcPr>
            <w:tcW w:w="1551" w:type="dxa"/>
            <w:tcBorders>
              <w:top w:val="single" w:sz="4" w:space="0" w:color="auto"/>
            </w:tcBorders>
            <w:vAlign w:val="center"/>
          </w:tcPr>
          <w:p w:rsidR="008C39E9" w:rsidRPr="009160A8" w:rsidRDefault="008C39E9" w:rsidP="00FB6668">
            <w:pPr>
              <w:tabs>
                <w:tab w:val="center" w:pos="4003"/>
              </w:tabs>
              <w:spacing w:line="360" w:lineRule="auto"/>
              <w:jc w:val="center"/>
            </w:pPr>
            <w:r w:rsidRPr="009160A8">
              <w:t>-18,985</w:t>
            </w:r>
          </w:p>
        </w:tc>
        <w:tc>
          <w:tcPr>
            <w:tcW w:w="3015" w:type="dxa"/>
            <w:tcBorders>
              <w:top w:val="single" w:sz="4" w:space="0" w:color="auto"/>
            </w:tcBorders>
            <w:vAlign w:val="center"/>
          </w:tcPr>
          <w:p w:rsidR="008C39E9" w:rsidRPr="009160A8" w:rsidRDefault="008C39E9" w:rsidP="00FB6668">
            <w:pPr>
              <w:tabs>
                <w:tab w:val="center" w:pos="4003"/>
              </w:tabs>
              <w:spacing w:line="360" w:lineRule="auto"/>
              <w:jc w:val="center"/>
            </w:pPr>
            <w:r w:rsidRPr="009160A8">
              <w:t>-29,358 /-8,612</w:t>
            </w:r>
          </w:p>
        </w:tc>
        <w:tc>
          <w:tcPr>
            <w:tcW w:w="1418" w:type="dxa"/>
            <w:tcBorders>
              <w:top w:val="single" w:sz="4" w:space="0" w:color="auto"/>
            </w:tcBorders>
            <w:vAlign w:val="center"/>
          </w:tcPr>
          <w:p w:rsidR="008C39E9" w:rsidRPr="009160A8" w:rsidRDefault="008C39E9" w:rsidP="00FB6668">
            <w:pPr>
              <w:tabs>
                <w:tab w:val="center" w:pos="4003"/>
              </w:tabs>
              <w:spacing w:line="360" w:lineRule="auto"/>
              <w:jc w:val="center"/>
            </w:pPr>
            <w:r w:rsidRPr="009160A8">
              <w:t>0,001</w:t>
            </w:r>
          </w:p>
        </w:tc>
      </w:tr>
      <w:tr w:rsidR="008C39E9" w:rsidRPr="00EC7AC1" w:rsidTr="00FB6668">
        <w:tc>
          <w:tcPr>
            <w:tcW w:w="3652" w:type="dxa"/>
          </w:tcPr>
          <w:p w:rsidR="008C39E9" w:rsidRPr="009160A8" w:rsidRDefault="008C39E9" w:rsidP="00FB6668">
            <w:pPr>
              <w:tabs>
                <w:tab w:val="center" w:pos="4003"/>
              </w:tabs>
              <w:spacing w:line="360" w:lineRule="auto"/>
            </w:pPr>
            <w:r w:rsidRPr="009160A8">
              <w:t>Retenção urinária</w:t>
            </w:r>
          </w:p>
        </w:tc>
        <w:tc>
          <w:tcPr>
            <w:tcW w:w="1671" w:type="dxa"/>
            <w:vAlign w:val="center"/>
          </w:tcPr>
          <w:p w:rsidR="008C39E9" w:rsidRPr="009160A8" w:rsidRDefault="008C39E9" w:rsidP="00FB6668">
            <w:pPr>
              <w:tabs>
                <w:tab w:val="center" w:pos="4003"/>
              </w:tabs>
              <w:spacing w:line="360" w:lineRule="auto"/>
              <w:jc w:val="center"/>
            </w:pPr>
          </w:p>
        </w:tc>
        <w:tc>
          <w:tcPr>
            <w:tcW w:w="1551" w:type="dxa"/>
            <w:vAlign w:val="center"/>
          </w:tcPr>
          <w:p w:rsidR="008C39E9" w:rsidRPr="009160A8" w:rsidRDefault="008C39E9" w:rsidP="00FB6668">
            <w:pPr>
              <w:tabs>
                <w:tab w:val="center" w:pos="4003"/>
              </w:tabs>
              <w:spacing w:line="360" w:lineRule="auto"/>
              <w:jc w:val="center"/>
            </w:pPr>
            <w:r w:rsidRPr="009160A8">
              <w:t>-13,046</w:t>
            </w:r>
          </w:p>
        </w:tc>
        <w:tc>
          <w:tcPr>
            <w:tcW w:w="3015" w:type="dxa"/>
            <w:vAlign w:val="center"/>
          </w:tcPr>
          <w:p w:rsidR="008C39E9" w:rsidRPr="009160A8" w:rsidRDefault="008C39E9" w:rsidP="00FB6668">
            <w:pPr>
              <w:tabs>
                <w:tab w:val="center" w:pos="4003"/>
              </w:tabs>
              <w:spacing w:line="360" w:lineRule="auto"/>
              <w:jc w:val="center"/>
            </w:pPr>
            <w:r w:rsidRPr="009160A8">
              <w:t>-24,836 /-1,257</w:t>
            </w:r>
          </w:p>
        </w:tc>
        <w:tc>
          <w:tcPr>
            <w:tcW w:w="1418" w:type="dxa"/>
            <w:vAlign w:val="center"/>
          </w:tcPr>
          <w:p w:rsidR="008C39E9" w:rsidRPr="009160A8" w:rsidRDefault="008C39E9" w:rsidP="00FB6668">
            <w:pPr>
              <w:tabs>
                <w:tab w:val="center" w:pos="4003"/>
              </w:tabs>
              <w:spacing w:line="360" w:lineRule="auto"/>
              <w:jc w:val="center"/>
            </w:pPr>
            <w:r w:rsidRPr="009160A8">
              <w:t>0,031</w:t>
            </w:r>
          </w:p>
        </w:tc>
      </w:tr>
      <w:tr w:rsidR="008C39E9" w:rsidRPr="00EC7AC1" w:rsidTr="00FB6668">
        <w:tc>
          <w:tcPr>
            <w:tcW w:w="3652" w:type="dxa"/>
          </w:tcPr>
          <w:p w:rsidR="008C39E9" w:rsidRPr="009160A8" w:rsidRDefault="008C39E9" w:rsidP="00FB6668">
            <w:pPr>
              <w:tabs>
                <w:tab w:val="center" w:pos="4003"/>
              </w:tabs>
              <w:spacing w:line="360" w:lineRule="auto"/>
            </w:pPr>
            <w:r w:rsidRPr="009160A8">
              <w:t>Urgência fecal</w:t>
            </w:r>
          </w:p>
        </w:tc>
        <w:tc>
          <w:tcPr>
            <w:tcW w:w="1671" w:type="dxa"/>
            <w:vAlign w:val="center"/>
          </w:tcPr>
          <w:p w:rsidR="008C39E9" w:rsidRPr="009160A8" w:rsidRDefault="008C39E9" w:rsidP="00FB6668">
            <w:pPr>
              <w:tabs>
                <w:tab w:val="center" w:pos="4003"/>
              </w:tabs>
              <w:spacing w:line="360" w:lineRule="auto"/>
              <w:jc w:val="center"/>
            </w:pPr>
          </w:p>
        </w:tc>
        <w:tc>
          <w:tcPr>
            <w:tcW w:w="1551" w:type="dxa"/>
            <w:vAlign w:val="center"/>
          </w:tcPr>
          <w:p w:rsidR="008C39E9" w:rsidRPr="009160A8" w:rsidRDefault="008C39E9" w:rsidP="00FB6668">
            <w:pPr>
              <w:tabs>
                <w:tab w:val="center" w:pos="4003"/>
              </w:tabs>
              <w:spacing w:line="360" w:lineRule="auto"/>
              <w:jc w:val="center"/>
            </w:pPr>
            <w:r w:rsidRPr="009160A8">
              <w:t>-5,312</w:t>
            </w:r>
          </w:p>
        </w:tc>
        <w:tc>
          <w:tcPr>
            <w:tcW w:w="3015" w:type="dxa"/>
            <w:vAlign w:val="center"/>
          </w:tcPr>
          <w:p w:rsidR="008C39E9" w:rsidRPr="009160A8" w:rsidRDefault="008C39E9" w:rsidP="00FB6668">
            <w:pPr>
              <w:tabs>
                <w:tab w:val="center" w:pos="4003"/>
              </w:tabs>
              <w:spacing w:line="360" w:lineRule="auto"/>
              <w:jc w:val="center"/>
            </w:pPr>
            <w:r w:rsidRPr="009160A8">
              <w:t>-15,577 /4,952</w:t>
            </w:r>
          </w:p>
        </w:tc>
        <w:tc>
          <w:tcPr>
            <w:tcW w:w="1418" w:type="dxa"/>
            <w:vAlign w:val="center"/>
          </w:tcPr>
          <w:p w:rsidR="008C39E9" w:rsidRPr="009160A8" w:rsidRDefault="008C39E9" w:rsidP="00FB6668">
            <w:pPr>
              <w:tabs>
                <w:tab w:val="center" w:pos="4003"/>
              </w:tabs>
              <w:spacing w:line="360" w:lineRule="auto"/>
              <w:jc w:val="center"/>
            </w:pPr>
            <w:r w:rsidRPr="009160A8">
              <w:t>0,306</w:t>
            </w:r>
          </w:p>
        </w:tc>
      </w:tr>
      <w:tr w:rsidR="008C39E9" w:rsidRPr="00EC7AC1" w:rsidTr="00FB6668">
        <w:trPr>
          <w:trHeight w:val="90"/>
        </w:trPr>
        <w:tc>
          <w:tcPr>
            <w:tcW w:w="3652" w:type="dxa"/>
            <w:tcBorders>
              <w:top w:val="single" w:sz="4" w:space="0" w:color="auto"/>
            </w:tcBorders>
          </w:tcPr>
          <w:p w:rsidR="008C39E9" w:rsidRPr="009160A8" w:rsidRDefault="008C39E9" w:rsidP="00FB6668">
            <w:pPr>
              <w:tabs>
                <w:tab w:val="center" w:pos="4003"/>
              </w:tabs>
              <w:spacing w:line="360" w:lineRule="auto"/>
            </w:pPr>
            <w:r w:rsidRPr="009160A8">
              <w:t>Domínio Relações Sociais</w:t>
            </w:r>
          </w:p>
        </w:tc>
        <w:tc>
          <w:tcPr>
            <w:tcW w:w="1671" w:type="dxa"/>
            <w:tcBorders>
              <w:top w:val="single" w:sz="4" w:space="0" w:color="auto"/>
            </w:tcBorders>
            <w:vAlign w:val="center"/>
          </w:tcPr>
          <w:p w:rsidR="008C39E9" w:rsidRPr="009160A8" w:rsidRDefault="008C39E9" w:rsidP="00FB6668">
            <w:pPr>
              <w:tabs>
                <w:tab w:val="center" w:pos="4003"/>
              </w:tabs>
              <w:spacing w:line="360" w:lineRule="auto"/>
            </w:pPr>
            <w:r w:rsidRPr="009160A8">
              <w:t>0,39</w:t>
            </w:r>
          </w:p>
        </w:tc>
        <w:tc>
          <w:tcPr>
            <w:tcW w:w="1551" w:type="dxa"/>
            <w:tcBorders>
              <w:top w:val="single" w:sz="4" w:space="0" w:color="auto"/>
            </w:tcBorders>
            <w:vAlign w:val="center"/>
          </w:tcPr>
          <w:p w:rsidR="008C39E9" w:rsidRPr="009160A8" w:rsidRDefault="008C39E9" w:rsidP="00FB6668">
            <w:pPr>
              <w:tabs>
                <w:tab w:val="center" w:pos="4003"/>
              </w:tabs>
              <w:spacing w:line="360" w:lineRule="auto"/>
              <w:jc w:val="center"/>
            </w:pPr>
          </w:p>
        </w:tc>
        <w:tc>
          <w:tcPr>
            <w:tcW w:w="3015" w:type="dxa"/>
            <w:tcBorders>
              <w:top w:val="single" w:sz="4" w:space="0" w:color="auto"/>
            </w:tcBorders>
            <w:vAlign w:val="center"/>
          </w:tcPr>
          <w:p w:rsidR="008C39E9" w:rsidRPr="009160A8" w:rsidRDefault="008C39E9" w:rsidP="00FB6668">
            <w:pPr>
              <w:tabs>
                <w:tab w:val="center" w:pos="4003"/>
              </w:tabs>
              <w:spacing w:line="360" w:lineRule="auto"/>
              <w:jc w:val="center"/>
            </w:pPr>
          </w:p>
        </w:tc>
        <w:tc>
          <w:tcPr>
            <w:tcW w:w="1418" w:type="dxa"/>
            <w:tcBorders>
              <w:top w:val="single" w:sz="4" w:space="0" w:color="auto"/>
            </w:tcBorders>
            <w:vAlign w:val="center"/>
          </w:tcPr>
          <w:p w:rsidR="008C39E9" w:rsidRPr="009160A8" w:rsidRDefault="008C39E9" w:rsidP="00FB6668">
            <w:pPr>
              <w:tabs>
                <w:tab w:val="center" w:pos="4003"/>
              </w:tabs>
              <w:spacing w:line="360" w:lineRule="auto"/>
              <w:jc w:val="center"/>
            </w:pPr>
            <w:r w:rsidRPr="009160A8">
              <w:t>&lt;0,001</w:t>
            </w:r>
          </w:p>
        </w:tc>
      </w:tr>
      <w:tr w:rsidR="008C39E9" w:rsidRPr="00EC7AC1" w:rsidTr="00FB6668">
        <w:tc>
          <w:tcPr>
            <w:tcW w:w="3652" w:type="dxa"/>
            <w:tcBorders>
              <w:top w:val="single" w:sz="4" w:space="0" w:color="auto"/>
            </w:tcBorders>
          </w:tcPr>
          <w:p w:rsidR="008C39E9" w:rsidRPr="009160A8" w:rsidRDefault="008C39E9" w:rsidP="00FB6668">
            <w:pPr>
              <w:tabs>
                <w:tab w:val="center" w:pos="4003"/>
              </w:tabs>
              <w:spacing w:line="360" w:lineRule="auto"/>
            </w:pPr>
            <w:r w:rsidRPr="009160A8">
              <w:t>Apoio social de amigos</w:t>
            </w:r>
          </w:p>
        </w:tc>
        <w:tc>
          <w:tcPr>
            <w:tcW w:w="1671" w:type="dxa"/>
            <w:tcBorders>
              <w:top w:val="single" w:sz="4" w:space="0" w:color="auto"/>
            </w:tcBorders>
            <w:vAlign w:val="center"/>
          </w:tcPr>
          <w:p w:rsidR="008C39E9" w:rsidRPr="009160A8" w:rsidRDefault="008C39E9" w:rsidP="00FB6668">
            <w:pPr>
              <w:tabs>
                <w:tab w:val="center" w:pos="4003"/>
              </w:tabs>
              <w:spacing w:line="360" w:lineRule="auto"/>
              <w:jc w:val="center"/>
            </w:pPr>
          </w:p>
        </w:tc>
        <w:tc>
          <w:tcPr>
            <w:tcW w:w="1551" w:type="dxa"/>
            <w:tcBorders>
              <w:top w:val="single" w:sz="4" w:space="0" w:color="auto"/>
            </w:tcBorders>
            <w:vAlign w:val="center"/>
          </w:tcPr>
          <w:p w:rsidR="008C39E9" w:rsidRPr="009160A8" w:rsidRDefault="008C39E9" w:rsidP="00FB6668">
            <w:pPr>
              <w:tabs>
                <w:tab w:val="center" w:pos="4003"/>
              </w:tabs>
              <w:spacing w:line="360" w:lineRule="auto"/>
              <w:jc w:val="center"/>
            </w:pPr>
            <w:r w:rsidRPr="009160A8">
              <w:t>13,713</w:t>
            </w:r>
          </w:p>
        </w:tc>
        <w:tc>
          <w:tcPr>
            <w:tcW w:w="3015" w:type="dxa"/>
            <w:tcBorders>
              <w:top w:val="single" w:sz="4" w:space="0" w:color="auto"/>
            </w:tcBorders>
            <w:vAlign w:val="center"/>
          </w:tcPr>
          <w:p w:rsidR="008C39E9" w:rsidRPr="009160A8" w:rsidRDefault="008C39E9" w:rsidP="00FB6668">
            <w:pPr>
              <w:tabs>
                <w:tab w:val="center" w:pos="4003"/>
              </w:tabs>
              <w:spacing w:line="360" w:lineRule="auto"/>
              <w:jc w:val="center"/>
            </w:pPr>
            <w:r w:rsidRPr="009160A8">
              <w:t>6,685 /20,740</w:t>
            </w:r>
          </w:p>
        </w:tc>
        <w:tc>
          <w:tcPr>
            <w:tcW w:w="1418" w:type="dxa"/>
            <w:tcBorders>
              <w:top w:val="single" w:sz="4" w:space="0" w:color="auto"/>
            </w:tcBorders>
            <w:vAlign w:val="center"/>
          </w:tcPr>
          <w:p w:rsidR="008C39E9" w:rsidRPr="009160A8" w:rsidRDefault="008C39E9" w:rsidP="00FB6668">
            <w:pPr>
              <w:tabs>
                <w:tab w:val="center" w:pos="4003"/>
              </w:tabs>
              <w:spacing w:line="360" w:lineRule="auto"/>
              <w:jc w:val="center"/>
            </w:pPr>
            <w:r w:rsidRPr="009160A8">
              <w:t>&lt;0,001</w:t>
            </w:r>
          </w:p>
        </w:tc>
      </w:tr>
      <w:tr w:rsidR="008C39E9" w:rsidRPr="00EC7AC1" w:rsidTr="00FB6668">
        <w:tc>
          <w:tcPr>
            <w:tcW w:w="3652" w:type="dxa"/>
          </w:tcPr>
          <w:p w:rsidR="008C39E9" w:rsidRPr="00EC7AC1" w:rsidRDefault="008C39E9" w:rsidP="00FB6668">
            <w:pPr>
              <w:tabs>
                <w:tab w:val="center" w:pos="4003"/>
              </w:tabs>
              <w:spacing w:line="360" w:lineRule="auto"/>
            </w:pPr>
            <w:r w:rsidRPr="00EC7AC1">
              <w:t>“Fogachos”</w:t>
            </w:r>
          </w:p>
        </w:tc>
        <w:tc>
          <w:tcPr>
            <w:tcW w:w="1671" w:type="dxa"/>
            <w:vAlign w:val="center"/>
          </w:tcPr>
          <w:p w:rsidR="008C39E9" w:rsidRPr="00EC7AC1" w:rsidRDefault="008C39E9" w:rsidP="00FB6668">
            <w:pPr>
              <w:tabs>
                <w:tab w:val="center" w:pos="4003"/>
              </w:tabs>
              <w:spacing w:line="360" w:lineRule="auto"/>
              <w:jc w:val="center"/>
            </w:pPr>
          </w:p>
        </w:tc>
        <w:tc>
          <w:tcPr>
            <w:tcW w:w="1551" w:type="dxa"/>
            <w:vAlign w:val="center"/>
          </w:tcPr>
          <w:p w:rsidR="008C39E9" w:rsidRPr="00EC7AC1" w:rsidRDefault="008C39E9" w:rsidP="00FB6668">
            <w:pPr>
              <w:tabs>
                <w:tab w:val="center" w:pos="4003"/>
              </w:tabs>
              <w:spacing w:line="360" w:lineRule="auto"/>
              <w:jc w:val="center"/>
            </w:pPr>
            <w:r w:rsidRPr="00EC7AC1">
              <w:t>-5,533</w:t>
            </w:r>
          </w:p>
        </w:tc>
        <w:tc>
          <w:tcPr>
            <w:tcW w:w="3015" w:type="dxa"/>
            <w:vAlign w:val="center"/>
          </w:tcPr>
          <w:p w:rsidR="008C39E9" w:rsidRPr="00EC7AC1" w:rsidRDefault="008C39E9" w:rsidP="00FB6668">
            <w:pPr>
              <w:tabs>
                <w:tab w:val="center" w:pos="4003"/>
              </w:tabs>
              <w:spacing w:line="360" w:lineRule="auto"/>
              <w:jc w:val="center"/>
            </w:pPr>
            <w:r w:rsidRPr="00EC7AC1">
              <w:t>-12,872 /1,805</w:t>
            </w:r>
          </w:p>
        </w:tc>
        <w:tc>
          <w:tcPr>
            <w:tcW w:w="1418" w:type="dxa"/>
            <w:vAlign w:val="center"/>
          </w:tcPr>
          <w:p w:rsidR="008C39E9" w:rsidRPr="00FB6668" w:rsidRDefault="008C39E9" w:rsidP="00FB6668">
            <w:pPr>
              <w:tabs>
                <w:tab w:val="center" w:pos="4003"/>
              </w:tabs>
              <w:spacing w:line="360" w:lineRule="auto"/>
              <w:jc w:val="center"/>
            </w:pPr>
            <w:r w:rsidRPr="00FB6668">
              <w:t>0,137</w:t>
            </w:r>
          </w:p>
        </w:tc>
      </w:tr>
      <w:tr w:rsidR="008C39E9" w:rsidRPr="00EC7AC1" w:rsidTr="00FB6668">
        <w:tc>
          <w:tcPr>
            <w:tcW w:w="3652" w:type="dxa"/>
          </w:tcPr>
          <w:p w:rsidR="008C39E9" w:rsidRPr="00EC7AC1" w:rsidRDefault="008C39E9" w:rsidP="00FB6668">
            <w:pPr>
              <w:tabs>
                <w:tab w:val="center" w:pos="4003"/>
              </w:tabs>
              <w:spacing w:line="360" w:lineRule="auto"/>
            </w:pPr>
            <w:r w:rsidRPr="00EC7AC1">
              <w:t>Estenose ou encurtamento vaginais</w:t>
            </w:r>
          </w:p>
        </w:tc>
        <w:tc>
          <w:tcPr>
            <w:tcW w:w="1671" w:type="dxa"/>
            <w:vAlign w:val="center"/>
          </w:tcPr>
          <w:p w:rsidR="008C39E9" w:rsidRPr="00EC7AC1" w:rsidRDefault="008C39E9" w:rsidP="00FB6668">
            <w:pPr>
              <w:tabs>
                <w:tab w:val="center" w:pos="4003"/>
              </w:tabs>
              <w:spacing w:line="360" w:lineRule="auto"/>
              <w:jc w:val="center"/>
            </w:pPr>
          </w:p>
        </w:tc>
        <w:tc>
          <w:tcPr>
            <w:tcW w:w="1551" w:type="dxa"/>
            <w:vAlign w:val="center"/>
          </w:tcPr>
          <w:p w:rsidR="008C39E9" w:rsidRPr="00EC7AC1" w:rsidRDefault="008C39E9" w:rsidP="00FB6668">
            <w:pPr>
              <w:tabs>
                <w:tab w:val="center" w:pos="4003"/>
              </w:tabs>
              <w:spacing w:line="360" w:lineRule="auto"/>
              <w:jc w:val="center"/>
            </w:pPr>
            <w:r w:rsidRPr="00EC7AC1">
              <w:t>-9,807</w:t>
            </w:r>
          </w:p>
        </w:tc>
        <w:tc>
          <w:tcPr>
            <w:tcW w:w="3015" w:type="dxa"/>
            <w:vAlign w:val="center"/>
          </w:tcPr>
          <w:p w:rsidR="008C39E9" w:rsidRPr="00EC7AC1" w:rsidRDefault="008C39E9" w:rsidP="00FB6668">
            <w:pPr>
              <w:tabs>
                <w:tab w:val="center" w:pos="4003"/>
              </w:tabs>
              <w:spacing w:line="360" w:lineRule="auto"/>
              <w:jc w:val="center"/>
            </w:pPr>
            <w:r w:rsidRPr="00EC7AC1">
              <w:t>-17,611 /-2,002</w:t>
            </w:r>
          </w:p>
        </w:tc>
        <w:tc>
          <w:tcPr>
            <w:tcW w:w="1418" w:type="dxa"/>
            <w:vAlign w:val="center"/>
          </w:tcPr>
          <w:p w:rsidR="008C39E9" w:rsidRPr="00FB6668" w:rsidRDefault="008C39E9" w:rsidP="00FB6668">
            <w:pPr>
              <w:tabs>
                <w:tab w:val="center" w:pos="4003"/>
              </w:tabs>
              <w:spacing w:line="360" w:lineRule="auto"/>
              <w:jc w:val="center"/>
            </w:pPr>
            <w:r w:rsidRPr="00FB6668">
              <w:t>0,015</w:t>
            </w:r>
          </w:p>
        </w:tc>
      </w:tr>
      <w:tr w:rsidR="008C39E9" w:rsidRPr="00EC7AC1" w:rsidTr="00FB6668">
        <w:tc>
          <w:tcPr>
            <w:tcW w:w="3652" w:type="dxa"/>
          </w:tcPr>
          <w:p w:rsidR="008C39E9" w:rsidRPr="00EC7AC1" w:rsidRDefault="008C39E9" w:rsidP="00FB6668">
            <w:pPr>
              <w:tabs>
                <w:tab w:val="center" w:pos="4003"/>
              </w:tabs>
              <w:spacing w:line="360" w:lineRule="auto"/>
            </w:pPr>
            <w:r w:rsidRPr="00EC7AC1">
              <w:t>Aumento da frequência urinária</w:t>
            </w:r>
          </w:p>
        </w:tc>
        <w:tc>
          <w:tcPr>
            <w:tcW w:w="1671" w:type="dxa"/>
            <w:vAlign w:val="center"/>
          </w:tcPr>
          <w:p w:rsidR="008C39E9" w:rsidRPr="00EC7AC1" w:rsidRDefault="008C39E9" w:rsidP="00FB6668">
            <w:pPr>
              <w:tabs>
                <w:tab w:val="center" w:pos="4003"/>
              </w:tabs>
              <w:spacing w:line="360" w:lineRule="auto"/>
              <w:jc w:val="center"/>
            </w:pPr>
          </w:p>
        </w:tc>
        <w:tc>
          <w:tcPr>
            <w:tcW w:w="1551" w:type="dxa"/>
            <w:vAlign w:val="center"/>
          </w:tcPr>
          <w:p w:rsidR="008C39E9" w:rsidRPr="00EC7AC1" w:rsidRDefault="008C39E9" w:rsidP="00FB6668">
            <w:pPr>
              <w:tabs>
                <w:tab w:val="center" w:pos="4003"/>
              </w:tabs>
              <w:spacing w:line="360" w:lineRule="auto"/>
              <w:jc w:val="center"/>
            </w:pPr>
            <w:r w:rsidRPr="00EC7AC1">
              <w:t>-7,740</w:t>
            </w:r>
          </w:p>
        </w:tc>
        <w:tc>
          <w:tcPr>
            <w:tcW w:w="3015" w:type="dxa"/>
            <w:vAlign w:val="center"/>
          </w:tcPr>
          <w:p w:rsidR="008C39E9" w:rsidRPr="00EC7AC1" w:rsidRDefault="008C39E9" w:rsidP="00FB6668">
            <w:pPr>
              <w:tabs>
                <w:tab w:val="center" w:pos="4003"/>
              </w:tabs>
              <w:spacing w:line="360" w:lineRule="auto"/>
              <w:jc w:val="center"/>
            </w:pPr>
            <w:r w:rsidRPr="00EC7AC1">
              <w:t>-17,163 /1,683</w:t>
            </w:r>
          </w:p>
        </w:tc>
        <w:tc>
          <w:tcPr>
            <w:tcW w:w="1418" w:type="dxa"/>
            <w:vAlign w:val="center"/>
          </w:tcPr>
          <w:p w:rsidR="008C39E9" w:rsidRPr="00FB6668" w:rsidRDefault="008C39E9" w:rsidP="00FB6668">
            <w:pPr>
              <w:tabs>
                <w:tab w:val="center" w:pos="4003"/>
              </w:tabs>
              <w:spacing w:line="360" w:lineRule="auto"/>
              <w:jc w:val="center"/>
            </w:pPr>
            <w:r w:rsidRPr="00FB6668">
              <w:t>0,106</w:t>
            </w:r>
          </w:p>
        </w:tc>
      </w:tr>
      <w:tr w:rsidR="008C39E9" w:rsidRPr="00EC7AC1" w:rsidTr="00FB6668">
        <w:tc>
          <w:tcPr>
            <w:tcW w:w="3652" w:type="dxa"/>
          </w:tcPr>
          <w:p w:rsidR="008C39E9" w:rsidRPr="00EC7AC1" w:rsidRDefault="008C39E9" w:rsidP="00FB6668">
            <w:pPr>
              <w:tabs>
                <w:tab w:val="center" w:pos="4003"/>
              </w:tabs>
              <w:spacing w:line="360" w:lineRule="auto"/>
            </w:pPr>
            <w:r>
              <w:t>Diarre</w:t>
            </w:r>
            <w:r w:rsidRPr="00EC7AC1">
              <w:t>ia</w:t>
            </w:r>
          </w:p>
        </w:tc>
        <w:tc>
          <w:tcPr>
            <w:tcW w:w="1671" w:type="dxa"/>
            <w:vAlign w:val="center"/>
          </w:tcPr>
          <w:p w:rsidR="008C39E9" w:rsidRPr="00EC7AC1" w:rsidRDefault="008C39E9" w:rsidP="00FB6668">
            <w:pPr>
              <w:tabs>
                <w:tab w:val="center" w:pos="4003"/>
              </w:tabs>
              <w:spacing w:line="360" w:lineRule="auto"/>
              <w:jc w:val="center"/>
            </w:pPr>
          </w:p>
        </w:tc>
        <w:tc>
          <w:tcPr>
            <w:tcW w:w="1551" w:type="dxa"/>
            <w:vAlign w:val="center"/>
          </w:tcPr>
          <w:p w:rsidR="008C39E9" w:rsidRPr="00EC7AC1" w:rsidRDefault="008C39E9" w:rsidP="00FB6668">
            <w:pPr>
              <w:tabs>
                <w:tab w:val="center" w:pos="4003"/>
              </w:tabs>
              <w:spacing w:line="360" w:lineRule="auto"/>
              <w:jc w:val="center"/>
            </w:pPr>
            <w:r w:rsidRPr="00EC7AC1">
              <w:t>-4,041</w:t>
            </w:r>
          </w:p>
        </w:tc>
        <w:tc>
          <w:tcPr>
            <w:tcW w:w="3015" w:type="dxa"/>
            <w:vAlign w:val="center"/>
          </w:tcPr>
          <w:p w:rsidR="008C39E9" w:rsidRPr="00EC7AC1" w:rsidRDefault="008C39E9" w:rsidP="00FB6668">
            <w:pPr>
              <w:tabs>
                <w:tab w:val="center" w:pos="4003"/>
              </w:tabs>
              <w:spacing w:line="360" w:lineRule="auto"/>
              <w:jc w:val="center"/>
            </w:pPr>
            <w:r w:rsidRPr="00EC7AC1">
              <w:t>-13,008 /4,925</w:t>
            </w:r>
          </w:p>
        </w:tc>
        <w:tc>
          <w:tcPr>
            <w:tcW w:w="1418" w:type="dxa"/>
            <w:vAlign w:val="center"/>
          </w:tcPr>
          <w:p w:rsidR="008C39E9" w:rsidRPr="00EC7AC1" w:rsidRDefault="008C39E9" w:rsidP="00FB6668">
            <w:pPr>
              <w:tabs>
                <w:tab w:val="center" w:pos="4003"/>
              </w:tabs>
              <w:spacing w:line="360" w:lineRule="auto"/>
              <w:jc w:val="center"/>
            </w:pPr>
            <w:r w:rsidRPr="00EC7AC1">
              <w:t>0,372</w:t>
            </w:r>
          </w:p>
        </w:tc>
      </w:tr>
    </w:tbl>
    <w:p w:rsidR="00FB6668" w:rsidRDefault="0067100F" w:rsidP="00FB6668">
      <w:pPr>
        <w:tabs>
          <w:tab w:val="center" w:pos="4003"/>
        </w:tabs>
        <w:spacing w:line="360" w:lineRule="auto"/>
        <w:rPr>
          <w:rFonts w:eastAsiaTheme="minorHAnsi"/>
          <w:sz w:val="20"/>
          <w:lang w:eastAsia="en-US"/>
        </w:rPr>
      </w:pPr>
      <w:r>
        <w:rPr>
          <w:rFonts w:eastAsiaTheme="minorHAnsi"/>
          <w:sz w:val="20"/>
          <w:lang w:eastAsia="en-US"/>
        </w:rPr>
        <w:t>Fonte: dos autores (2017</w:t>
      </w:r>
    </w:p>
    <w:p w:rsidR="0067100F" w:rsidRDefault="0067100F" w:rsidP="00FB6668">
      <w:pPr>
        <w:tabs>
          <w:tab w:val="center" w:pos="4003"/>
        </w:tabs>
        <w:spacing w:line="360" w:lineRule="auto"/>
        <w:rPr>
          <w:rFonts w:eastAsiaTheme="minorHAnsi"/>
          <w:sz w:val="20"/>
          <w:lang w:eastAsia="en-US"/>
        </w:rPr>
      </w:pPr>
    </w:p>
    <w:p w:rsidR="0067100F" w:rsidRDefault="0067100F" w:rsidP="00FB6668">
      <w:pPr>
        <w:tabs>
          <w:tab w:val="center" w:pos="4003"/>
        </w:tabs>
        <w:spacing w:line="360" w:lineRule="auto"/>
        <w:rPr>
          <w:rFonts w:eastAsiaTheme="minorHAnsi"/>
          <w:sz w:val="20"/>
          <w:lang w:eastAsia="en-US"/>
        </w:rPr>
      </w:pPr>
    </w:p>
    <w:p w:rsidR="0067100F" w:rsidRDefault="0067100F" w:rsidP="00FB6668">
      <w:pPr>
        <w:tabs>
          <w:tab w:val="center" w:pos="4003"/>
        </w:tabs>
        <w:spacing w:line="360" w:lineRule="auto"/>
        <w:rPr>
          <w:rFonts w:eastAsiaTheme="minorHAnsi"/>
          <w:sz w:val="20"/>
          <w:lang w:eastAsia="en-US"/>
        </w:rPr>
      </w:pPr>
    </w:p>
    <w:p w:rsidR="0067100F" w:rsidRPr="00FB6668" w:rsidRDefault="0067100F" w:rsidP="00FB6668">
      <w:pPr>
        <w:tabs>
          <w:tab w:val="center" w:pos="4003"/>
        </w:tabs>
        <w:spacing w:line="360" w:lineRule="auto"/>
        <w:rPr>
          <w:sz w:val="20"/>
        </w:rPr>
        <w:sectPr w:rsidR="0067100F" w:rsidRPr="00FB6668" w:rsidSect="00FB6668">
          <w:pgSz w:w="16838" w:h="11906" w:orient="landscape" w:code="9"/>
          <w:pgMar w:top="1701" w:right="1701" w:bottom="1701" w:left="1701" w:header="709" w:footer="709" w:gutter="0"/>
          <w:cols w:space="708"/>
          <w:titlePg/>
          <w:docGrid w:linePitch="360"/>
        </w:sectPr>
      </w:pPr>
    </w:p>
    <w:p w:rsidR="009160A8" w:rsidRPr="00EC7AC1" w:rsidRDefault="000D7279" w:rsidP="009160A8">
      <w:pPr>
        <w:spacing w:after="200" w:line="480" w:lineRule="auto"/>
      </w:pPr>
      <w:r>
        <w:lastRenderedPageBreak/>
        <w:t xml:space="preserve">4 </w:t>
      </w:r>
      <w:r w:rsidR="009160A8" w:rsidRPr="000D7279">
        <w:rPr>
          <w:b/>
        </w:rPr>
        <w:t>DISCUSSÃO</w:t>
      </w:r>
    </w:p>
    <w:p w:rsidR="009160A8" w:rsidRPr="00EC7AC1" w:rsidRDefault="009160A8" w:rsidP="009160A8">
      <w:pPr>
        <w:spacing w:line="480" w:lineRule="auto"/>
        <w:ind w:right="23" w:firstLine="600"/>
        <w:jc w:val="both"/>
      </w:pPr>
      <w:r w:rsidRPr="00EC7AC1">
        <w:t>Os resultados do presente estudo mostraram um maior percentual de mulheres no grupo câncer que viviam</w:t>
      </w:r>
      <w:r>
        <w:t xml:space="preserve"> </w:t>
      </w:r>
      <w:r w:rsidRPr="00EC7AC1">
        <w:t>sem companheiro, que consideravam o relacionamento com o companheiro como ruim/regular e que apresentavam disfunções urinárias, intestinais e sexuais que podem estar relacionadas com o tratamento do câncer. O grupo câncer apresentou pior escore nos domínios “Físico” e “Relações Sociais” da QV.</w:t>
      </w:r>
      <w:r>
        <w:t xml:space="preserve"> </w:t>
      </w:r>
      <w:r w:rsidRPr="00BB4B0B">
        <w:t>Ademais, verificou-se associação entre estes domínios de QV com alterações que poderiam representar consequências do tratamento, bem como com a rede social de apoio dos amigos, mostrando a importância destes fatores para a QV de sobreviventes do CCU.</w:t>
      </w:r>
    </w:p>
    <w:p w:rsidR="009160A8" w:rsidRDefault="009160A8" w:rsidP="009160A8">
      <w:pPr>
        <w:spacing w:line="480" w:lineRule="auto"/>
        <w:ind w:right="23" w:firstLine="600"/>
        <w:jc w:val="both"/>
      </w:pPr>
      <w:r w:rsidRPr="00BB4B0B">
        <w:t>A pior QV para o</w:t>
      </w:r>
      <w:r>
        <w:t xml:space="preserve"> </w:t>
      </w:r>
      <w:r w:rsidRPr="00BB4B0B">
        <w:t>Gcâncer nos domínios “Físico” e “Relações Sociais” sugere algum impacto negativo do CCU e/ou seu tratamento sobre a QV das sobreviventes, o que está de acordo com outras pesquisas encontradas na literatura</w:t>
      </w:r>
      <w:r>
        <w:t xml:space="preserve"> (</w:t>
      </w:r>
      <w:r w:rsidRPr="00EC7AC1">
        <w:t>FLECK</w:t>
      </w:r>
      <w:r>
        <w:t xml:space="preserve">, 2000; </w:t>
      </w:r>
      <w:r w:rsidRPr="001136A5">
        <w:t>OSANN</w:t>
      </w:r>
      <w:r w:rsidR="00987B49">
        <w:t xml:space="preserve"> et al.</w:t>
      </w:r>
      <w:r>
        <w:t>, 2014; PFAENDLER</w:t>
      </w:r>
      <w:r w:rsidR="00987B49">
        <w:t xml:space="preserve"> et al.</w:t>
      </w:r>
      <w:r>
        <w:t>, 2015).</w:t>
      </w:r>
      <w:r w:rsidR="00A9237F">
        <w:t xml:space="preserve"> </w:t>
      </w:r>
      <w:r w:rsidRPr="00EC7AC1">
        <w:t xml:space="preserve">Neste sentido, é importante destacar que o domínio “Físico” possui um item sobre a necessidade de tratamento médico e o domínio “Relações Sociais”, um </w:t>
      </w:r>
      <w:r>
        <w:t>item que avalia a satisfação d</w:t>
      </w:r>
      <w:r w:rsidRPr="00EC7AC1">
        <w:t xml:space="preserve">a vida sexual. Desta forma, os resultados observados podem estar relacionados, em parte, à necessidade de acompanhamento médico especializado após o tratamento, aos efeitos adversos tardios do tratamento e à insatisfação com a vida sexual devido às disfunções sexuais secundárias à terapia. </w:t>
      </w:r>
    </w:p>
    <w:p w:rsidR="008C39E9" w:rsidRPr="00EC7AC1" w:rsidRDefault="009160A8" w:rsidP="009160A8">
      <w:pPr>
        <w:spacing w:line="480" w:lineRule="auto"/>
        <w:ind w:right="23" w:firstLine="600"/>
        <w:jc w:val="both"/>
        <w:sectPr w:rsidR="008C39E9" w:rsidRPr="00EC7AC1" w:rsidSect="008C39E9">
          <w:pgSz w:w="11906" w:h="16838" w:code="9"/>
          <w:pgMar w:top="1701" w:right="1701" w:bottom="1701" w:left="1701" w:header="709" w:footer="709" w:gutter="0"/>
          <w:cols w:space="708"/>
          <w:titlePg/>
          <w:docGrid w:linePitch="360"/>
        </w:sectPr>
      </w:pPr>
      <w:r w:rsidRPr="00BB4B0B">
        <w:t>Deve-se considerar também a possibilidade de relação entre estes resultados</w:t>
      </w:r>
      <w:r>
        <w:t xml:space="preserve"> </w:t>
      </w:r>
      <w:r w:rsidRPr="00BB4B0B">
        <w:t>e a falta de orientação e suporte adequados da equipe de saúde que assiste a paciente, no</w:t>
      </w:r>
      <w:r w:rsidRPr="00EC7AC1">
        <w:t xml:space="preserve"> que se refere à abordagem precoce dos potenciais efeitos adversos do tratamento da doença</w:t>
      </w:r>
      <w:r>
        <w:t xml:space="preserve"> (BERNARDO</w:t>
      </w:r>
      <w:r w:rsidR="00987B49">
        <w:t xml:space="preserve"> et al.</w:t>
      </w:r>
      <w:r>
        <w:t>, 2007)</w:t>
      </w:r>
      <w:r w:rsidRPr="00EC7AC1">
        <w:t xml:space="preserve">. Além disso, </w:t>
      </w:r>
      <w:r>
        <w:t xml:space="preserve">destaca-se o ainda </w:t>
      </w:r>
      <w:r w:rsidRPr="009C32D4">
        <w:t>existente</w:t>
      </w:r>
      <w:r>
        <w:t xml:space="preserve"> estigma do cânce</w:t>
      </w:r>
      <w:r w:rsidR="0067100F">
        <w:t>r</w:t>
      </w:r>
    </w:p>
    <w:p w:rsidR="00E43C61" w:rsidRPr="00EC7AC1" w:rsidRDefault="00E43C61" w:rsidP="009160A8">
      <w:pPr>
        <w:spacing w:line="480" w:lineRule="auto"/>
        <w:ind w:right="23"/>
        <w:jc w:val="both"/>
      </w:pPr>
      <w:proofErr w:type="gramStart"/>
      <w:r w:rsidRPr="00EC7AC1">
        <w:lastRenderedPageBreak/>
        <w:t>e</w:t>
      </w:r>
      <w:proofErr w:type="gramEnd"/>
      <w:r w:rsidRPr="00EC7AC1">
        <w:t xml:space="preserve"> o fato de que a doença</w:t>
      </w:r>
      <w:r w:rsidR="00B42B8B">
        <w:t xml:space="preserve"> acomete</w:t>
      </w:r>
      <w:r w:rsidRPr="00EC7AC1">
        <w:t xml:space="preserve"> órgão de simbologia tão importante para o sexo feminino, extremamente vinculado à atividade sexual</w:t>
      </w:r>
      <w:r w:rsidR="00F06A7C">
        <w:t xml:space="preserve"> (</w:t>
      </w:r>
      <w:r w:rsidR="00F06A7C" w:rsidRPr="00502CCF">
        <w:t>PENGA</w:t>
      </w:r>
      <w:r w:rsidR="00730D3E">
        <w:t>;</w:t>
      </w:r>
      <w:r w:rsidR="00D8668E">
        <w:t xml:space="preserve"> RUMIN,</w:t>
      </w:r>
      <w:r w:rsidR="00F06A7C">
        <w:t xml:space="preserve"> 2008)</w:t>
      </w:r>
      <w:r w:rsidRPr="00EC7AC1">
        <w:t xml:space="preserve">. </w:t>
      </w:r>
    </w:p>
    <w:p w:rsidR="00D46103" w:rsidRPr="00EC7AC1" w:rsidRDefault="00D46103" w:rsidP="00193B24">
      <w:pPr>
        <w:spacing w:line="480" w:lineRule="auto"/>
        <w:ind w:right="23" w:firstLine="600"/>
        <w:jc w:val="both"/>
      </w:pPr>
      <w:r w:rsidRPr="00EC7AC1">
        <w:t>Variáveis relacionadas a possíveis efeitos adversos do tratamento para o grupo câncer mostraram impacto nega</w:t>
      </w:r>
      <w:r w:rsidR="00516000">
        <w:t>tivo na</w:t>
      </w:r>
      <w:r w:rsidR="00EC544D">
        <w:t xml:space="preserve"> QV</w:t>
      </w:r>
      <w:r w:rsidR="00516000">
        <w:t xml:space="preserve">, como </w:t>
      </w:r>
      <w:r w:rsidRPr="00EC7AC1">
        <w:t xml:space="preserve">estenose ou encurtamento vaginais, linfedema em membros inferiores e retenção urinária. </w:t>
      </w:r>
      <w:r w:rsidR="006724C3" w:rsidRPr="00EC7AC1">
        <w:t xml:space="preserve">O desenvolvimento de estenose ou encurtamento vaginal após o término do tratamento é, muitas vezes, considerado como o principal mecanismo para as </w:t>
      </w:r>
      <w:r w:rsidR="00222601">
        <w:t xml:space="preserve">dificuldades </w:t>
      </w:r>
      <w:r w:rsidR="00222601" w:rsidRPr="00222601">
        <w:t>sexuais</w:t>
      </w:r>
      <w:r w:rsidR="00F06A7C">
        <w:t xml:space="preserve"> (WHITE, 2008)</w:t>
      </w:r>
      <w:r w:rsidR="00222601">
        <w:t xml:space="preserve">. </w:t>
      </w:r>
      <w:r w:rsidR="00C57B48">
        <w:t>Da mesma forma</w:t>
      </w:r>
      <w:r w:rsidR="00730D3E">
        <w:t>, Osann e outros</w:t>
      </w:r>
      <w:r w:rsidR="00987B49">
        <w:t xml:space="preserve"> </w:t>
      </w:r>
      <w:r w:rsidR="00F06A7C">
        <w:t xml:space="preserve">(2014) </w:t>
      </w:r>
      <w:r w:rsidR="00ED6119" w:rsidRPr="00EC7AC1">
        <w:t>também</w:t>
      </w:r>
      <w:r w:rsidR="00A9237F">
        <w:t xml:space="preserve"> </w:t>
      </w:r>
      <w:r w:rsidRPr="00EC7AC1">
        <w:t>verificaram que problemas ginecológicos decorrentes do tratamen</w:t>
      </w:r>
      <w:r w:rsidR="00C57B48">
        <w:t>to para o CCU estão associados à</w:t>
      </w:r>
      <w:r w:rsidRPr="00EC7AC1">
        <w:t xml:space="preserve"> pior QV. </w:t>
      </w:r>
      <w:r w:rsidR="006724C3" w:rsidRPr="00EC7AC1">
        <w:t>C</w:t>
      </w:r>
      <w:r w:rsidR="00EC544D">
        <w:t>orroborando com os presentes</w:t>
      </w:r>
      <w:r w:rsidR="00ED6119" w:rsidRPr="00EC7AC1">
        <w:t xml:space="preserve"> achados,</w:t>
      </w:r>
      <w:r w:rsidR="00730D3E">
        <w:t xml:space="preserve"> Park e outros </w:t>
      </w:r>
      <w:r w:rsidR="00F06A7C">
        <w:t>(2007)</w:t>
      </w:r>
      <w:r w:rsidR="009160A8">
        <w:t xml:space="preserve"> </w:t>
      </w:r>
      <w:r w:rsidRPr="00EC7AC1">
        <w:t>encontraram QV significativamente inferior em mulheres sobrevivente</w:t>
      </w:r>
      <w:r w:rsidR="00F1441A">
        <w:t>s ao</w:t>
      </w:r>
      <w:r w:rsidRPr="00EC7AC1">
        <w:t xml:space="preserve"> câncer do colo uterino em comparação às mulheres do grupo</w:t>
      </w:r>
      <w:r w:rsidR="009160A8">
        <w:t xml:space="preserve"> </w:t>
      </w:r>
      <w:r w:rsidRPr="00EC7AC1">
        <w:t>controle. As sobreviventes apresentaram pobre imagem corporal,</w:t>
      </w:r>
      <w:r w:rsidR="00987B49">
        <w:t xml:space="preserve"> </w:t>
      </w:r>
      <w:r w:rsidRPr="00EC7AC1">
        <w:t>maior ansiedade em relação ao desempenho sexual, baixa função</w:t>
      </w:r>
      <w:r w:rsidR="00A9237F">
        <w:t xml:space="preserve"> </w:t>
      </w:r>
      <w:r w:rsidR="00054AB0">
        <w:t>sexual</w:t>
      </w:r>
      <w:r w:rsidRPr="00EC7AC1">
        <w:t>, preocupação sexual mais frequente, linfedema de</w:t>
      </w:r>
      <w:r w:rsidR="009160A8">
        <w:t xml:space="preserve"> </w:t>
      </w:r>
      <w:r w:rsidRPr="00EC7AC1">
        <w:t xml:space="preserve">membros inferiores e maior </w:t>
      </w:r>
      <w:r w:rsidR="004434ED" w:rsidRPr="00EC7AC1">
        <w:t>frequência</w:t>
      </w:r>
      <w:r w:rsidRPr="00EC7AC1">
        <w:t xml:space="preserve"> de sintomas de menopausa em relação</w:t>
      </w:r>
      <w:r w:rsidR="009160A8">
        <w:t xml:space="preserve"> </w:t>
      </w:r>
      <w:r w:rsidRPr="00EC7AC1">
        <w:t>ao grupo controle.</w:t>
      </w:r>
      <w:r w:rsidR="009160A8">
        <w:t xml:space="preserve"> </w:t>
      </w:r>
      <w:r w:rsidR="00ED1AE1" w:rsidRPr="003E4F6F">
        <w:t xml:space="preserve">Segundo </w:t>
      </w:r>
      <w:proofErr w:type="spellStart"/>
      <w:r w:rsidR="00ED1AE1" w:rsidRPr="003E4F6F">
        <w:t>Bae</w:t>
      </w:r>
      <w:proofErr w:type="spellEnd"/>
      <w:r w:rsidR="00730D3E">
        <w:t xml:space="preserve"> e Park</w:t>
      </w:r>
      <w:r w:rsidR="00F06A7C">
        <w:t xml:space="preserve"> (2016)</w:t>
      </w:r>
      <w:r w:rsidR="00ED1AE1" w:rsidRPr="003E4F6F">
        <w:t xml:space="preserve"> e Park</w:t>
      </w:r>
      <w:r w:rsidR="005F3348">
        <w:t xml:space="preserve"> e outros</w:t>
      </w:r>
      <w:r w:rsidR="00A9237F">
        <w:t xml:space="preserve"> </w:t>
      </w:r>
      <w:r w:rsidR="00F06A7C">
        <w:t>(2007)</w:t>
      </w:r>
      <w:r w:rsidRPr="00EC7AC1">
        <w:t>, sobreviventes ao CCU tendem a apresentar disfunção sex</w:t>
      </w:r>
      <w:r w:rsidR="00BE6D86">
        <w:t>ual, o que está correlacionado à</w:t>
      </w:r>
      <w:r w:rsidRPr="00EC7AC1">
        <w:t xml:space="preserve"> pior qualidade de vida e maiores níveis de depressão</w:t>
      </w:r>
      <w:r w:rsidR="00656180" w:rsidRPr="00EC7AC1">
        <w:t>.</w:t>
      </w:r>
    </w:p>
    <w:p w:rsidR="00D46103" w:rsidRPr="00EC7AC1" w:rsidRDefault="00987B49" w:rsidP="00193B24">
      <w:pPr>
        <w:spacing w:line="480" w:lineRule="auto"/>
        <w:ind w:right="23" w:firstLine="600"/>
        <w:jc w:val="both"/>
      </w:pPr>
      <w:r>
        <w:t xml:space="preserve">De acordo com </w:t>
      </w:r>
      <w:proofErr w:type="spellStart"/>
      <w:r>
        <w:t>Pfaendler</w:t>
      </w:r>
      <w:proofErr w:type="spellEnd"/>
      <w:r>
        <w:t xml:space="preserve"> </w:t>
      </w:r>
      <w:r w:rsidR="00730D3E">
        <w:t>e outros</w:t>
      </w:r>
      <w:r>
        <w:t xml:space="preserve"> </w:t>
      </w:r>
      <w:r w:rsidR="00E326B6">
        <w:t>(2015)</w:t>
      </w:r>
      <w:r w:rsidR="00C57B48" w:rsidRPr="00C57B48">
        <w:t xml:space="preserve">, tanto o tratamento cirúrgico como a radioterapia, mas particularmente a combinação destas modalidades, aumenta o risco de sequelas a longo prazo para o sistema urinário, como </w:t>
      </w:r>
      <w:proofErr w:type="spellStart"/>
      <w:r w:rsidR="00C57B48" w:rsidRPr="00C57B48">
        <w:t>hipoatividade</w:t>
      </w:r>
      <w:proofErr w:type="spellEnd"/>
      <w:r w:rsidR="00C57B48" w:rsidRPr="00C57B48">
        <w:t xml:space="preserve"> detrusora, diminuição da sensibilidade da bexiga, capacidade vesical reduzida e incontinência urinária, que podem afetar significativamente a </w:t>
      </w:r>
      <w:r w:rsidR="00BE6D86">
        <w:t>QV</w:t>
      </w:r>
      <w:r w:rsidR="00C57B48" w:rsidRPr="00C57B48">
        <w:t>.</w:t>
      </w:r>
      <w:r w:rsidR="00C57B48" w:rsidRPr="00C57B48">
        <w:rPr>
          <w:rStyle w:val="apple-converted-space"/>
        </w:rPr>
        <w:t xml:space="preserve"> Além disso, segundo estes autores, </w:t>
      </w:r>
      <w:r w:rsidR="00C57B48" w:rsidRPr="00C57B48">
        <w:t xml:space="preserve">o linfedema de membros inferiores pode ser a sequela mais incapacitante do tratamento, com efeitos físicos que incluem sensação de peso na perna, desconforto e tensão da pele e possível </w:t>
      </w:r>
      <w:r w:rsidR="00C57B48" w:rsidRPr="00C57B48">
        <w:lastRenderedPageBreak/>
        <w:t xml:space="preserve">associação com disfunção sexual, ansiedade, depressão e diminuição da </w:t>
      </w:r>
      <w:r w:rsidR="00624A7D" w:rsidRPr="00C57B48">
        <w:t>autoestima</w:t>
      </w:r>
      <w:r w:rsidR="00C57B48" w:rsidRPr="00C57B48">
        <w:t xml:space="preserve">, levando a uma importante diminuição da </w:t>
      </w:r>
      <w:r w:rsidR="00E326B6">
        <w:t>QV (</w:t>
      </w:r>
      <w:r w:rsidR="00E326B6" w:rsidRPr="005D1847">
        <w:t>TIWARI</w:t>
      </w:r>
      <w:r>
        <w:t xml:space="preserve"> et al.</w:t>
      </w:r>
      <w:r w:rsidR="00E326B6">
        <w:t>, 2013)</w:t>
      </w:r>
      <w:r w:rsidR="00C57B48" w:rsidRPr="00C57B48">
        <w:t>.</w:t>
      </w:r>
      <w:r w:rsidR="009160A8">
        <w:t xml:space="preserve"> </w:t>
      </w:r>
      <w:r w:rsidR="003A1344">
        <w:t xml:space="preserve">Lee </w:t>
      </w:r>
      <w:r w:rsidR="00EA754E">
        <w:t>e outros</w:t>
      </w:r>
      <w:r w:rsidR="003A1344">
        <w:t xml:space="preserve"> </w:t>
      </w:r>
      <w:r w:rsidR="00E326B6">
        <w:t>(2016)</w:t>
      </w:r>
      <w:r w:rsidR="00D46103" w:rsidRPr="00EC7AC1">
        <w:t xml:space="preserve"> também verificaram que o linfedema de membros inferiores foi o efeito adverso do tratamento que apresentou maior impacto na QV de sobreviventes ao CCU. </w:t>
      </w:r>
    </w:p>
    <w:p w:rsidR="00D31D08" w:rsidRPr="00EC7AC1" w:rsidRDefault="00CA4A29" w:rsidP="00193B24">
      <w:pPr>
        <w:spacing w:line="480" w:lineRule="auto"/>
        <w:ind w:right="23" w:firstLine="600"/>
        <w:jc w:val="both"/>
        <w:rPr>
          <w:b/>
          <w:bCs/>
          <w:vertAlign w:val="superscript"/>
        </w:rPr>
      </w:pPr>
      <w:r w:rsidRPr="00EC7AC1">
        <w:t>No que se refere</w:t>
      </w:r>
      <w:r w:rsidR="00D31D08" w:rsidRPr="00EC7AC1">
        <w:t xml:space="preserve"> à sexualidade, o</w:t>
      </w:r>
      <w:r w:rsidR="00E43C61" w:rsidRPr="00EC7AC1">
        <w:t xml:space="preserve">bservou-se alta </w:t>
      </w:r>
      <w:r w:rsidR="004434ED" w:rsidRPr="00EC7AC1">
        <w:t>frequência</w:t>
      </w:r>
      <w:r w:rsidR="00E43C61" w:rsidRPr="00EC7AC1">
        <w:t xml:space="preserve"> de disfunção sexual (80%) nas sobreviventes ao CCU, </w:t>
      </w:r>
      <w:r w:rsidR="00BE6D86">
        <w:t xml:space="preserve">indo </w:t>
      </w:r>
      <w:r w:rsidR="00E43C61" w:rsidRPr="00EC7AC1">
        <w:t>ao encontro de outros estudos</w:t>
      </w:r>
      <w:r w:rsidR="00EA754E">
        <w:t xml:space="preserve"> (BERNARDO; FIGUEIROA;</w:t>
      </w:r>
      <w:r w:rsidR="00EA754E" w:rsidRPr="00EA754E">
        <w:t xml:space="preserve"> </w:t>
      </w:r>
      <w:r w:rsidR="00EA754E">
        <w:t>LORENZATO</w:t>
      </w:r>
      <w:r w:rsidR="0088467F">
        <w:t>,</w:t>
      </w:r>
      <w:r w:rsidR="00E326B6">
        <w:t xml:space="preserve"> 2007; ZHOU</w:t>
      </w:r>
      <w:r w:rsidR="00EA754E">
        <w:t xml:space="preserve"> et al.,</w:t>
      </w:r>
      <w:r w:rsidR="00E326B6">
        <w:t xml:space="preserve"> 2016; </w:t>
      </w:r>
      <w:r w:rsidR="00E326B6" w:rsidRPr="00EC7AC1">
        <w:t>WHITE</w:t>
      </w:r>
      <w:r w:rsidR="00E326B6">
        <w:t>, 2008)</w:t>
      </w:r>
      <w:r w:rsidR="00E43C61" w:rsidRPr="00EC7AC1">
        <w:t>. Segundo White</w:t>
      </w:r>
      <w:r w:rsidR="00E326B6">
        <w:t xml:space="preserve"> (2008)</w:t>
      </w:r>
      <w:r w:rsidR="00E43C61" w:rsidRPr="00EC7AC1">
        <w:t xml:space="preserve">, as dificuldades sexuais após o tratamento para o CCU apresentam uma prevalência de </w:t>
      </w:r>
      <w:smartTag w:uri="urn:schemas-microsoft-com:office:smarttags" w:element="metricconverter">
        <w:smartTagPr>
          <w:attr w:name="ProductID" w:val="50 a"/>
        </w:smartTagPr>
        <w:r w:rsidR="00E43C61" w:rsidRPr="00EC7AC1">
          <w:t>50 a</w:t>
        </w:r>
      </w:smartTag>
      <w:r w:rsidR="00E43C61" w:rsidRPr="00EC7AC1">
        <w:t xml:space="preserve"> 80%. </w:t>
      </w:r>
      <w:r w:rsidR="00425BEE" w:rsidRPr="00EC7AC1">
        <w:t>É importante destacar que a disfunção sexual secundária ao tratamento pode levar a problemas na relação com o companheiro e, consequentemente, afetar a QV.</w:t>
      </w:r>
      <w:r w:rsidR="009160A8">
        <w:t xml:space="preserve"> </w:t>
      </w:r>
      <w:proofErr w:type="spellStart"/>
      <w:r w:rsidR="00150F09" w:rsidRPr="00054AB0">
        <w:t>Ratner</w:t>
      </w:r>
      <w:proofErr w:type="spellEnd"/>
      <w:r w:rsidR="00150F09" w:rsidRPr="00054AB0">
        <w:t xml:space="preserve"> e </w:t>
      </w:r>
      <w:r w:rsidR="0069571D">
        <w:t xml:space="preserve">outros </w:t>
      </w:r>
      <w:r w:rsidR="00E326B6">
        <w:t xml:space="preserve">(2010) </w:t>
      </w:r>
      <w:r w:rsidR="00681BFE" w:rsidRPr="00EC7AC1">
        <w:t xml:space="preserve">afirmam que a </w:t>
      </w:r>
      <w:proofErr w:type="spellStart"/>
      <w:r w:rsidR="00681BFE" w:rsidRPr="00EC7AC1">
        <w:t>dispareunia</w:t>
      </w:r>
      <w:proofErr w:type="spellEnd"/>
      <w:r w:rsidR="00681BFE" w:rsidRPr="00EC7AC1">
        <w:t xml:space="preserve"> é o principal fator</w:t>
      </w:r>
      <w:r w:rsidR="009160A8">
        <w:t xml:space="preserve"> </w:t>
      </w:r>
      <w:r w:rsidR="00681BFE" w:rsidRPr="00EC7AC1">
        <w:t>contribuinte para o desenvolvimento de disfunção sexual após o tratamento para</w:t>
      </w:r>
      <w:r w:rsidR="00A9237F">
        <w:t xml:space="preserve"> o </w:t>
      </w:r>
      <w:r w:rsidR="00681BFE" w:rsidRPr="00EC7AC1">
        <w:t xml:space="preserve">CCU. Apesar do desejo em manter a atividade sexual, a </w:t>
      </w:r>
      <w:proofErr w:type="spellStart"/>
      <w:r w:rsidR="00681BFE" w:rsidRPr="00EC7AC1">
        <w:t>dispareunia</w:t>
      </w:r>
      <w:proofErr w:type="spellEnd"/>
      <w:r w:rsidR="009160A8">
        <w:t xml:space="preserve"> </w:t>
      </w:r>
      <w:r w:rsidR="00ED6119" w:rsidRPr="00EC7AC1">
        <w:t>decorren</w:t>
      </w:r>
      <w:r w:rsidR="006724C3" w:rsidRPr="00EC7AC1">
        <w:t>te, principalmente, da estenose/encurtamento vaginal</w:t>
      </w:r>
      <w:r w:rsidR="00ED6119" w:rsidRPr="00EC7AC1">
        <w:t xml:space="preserve"> e </w:t>
      </w:r>
      <w:r w:rsidR="00D31162" w:rsidRPr="00EC7AC1">
        <w:t xml:space="preserve">da </w:t>
      </w:r>
      <w:r w:rsidR="00ED6119" w:rsidRPr="00EC7AC1">
        <w:t>redução da lubrificação vaginal</w:t>
      </w:r>
      <w:r w:rsidR="006724C3" w:rsidRPr="00EC7AC1">
        <w:t xml:space="preserve"> leva</w:t>
      </w:r>
      <w:r w:rsidR="00681BFE" w:rsidRPr="00EC7AC1">
        <w:t xml:space="preserve"> a paciente a sentir medo e evitar a relação sexual</w:t>
      </w:r>
      <w:r w:rsidR="0069571D">
        <w:t xml:space="preserve"> (RATNER et al.,</w:t>
      </w:r>
      <w:r w:rsidR="00E326B6">
        <w:t xml:space="preserve"> 2010)</w:t>
      </w:r>
      <w:r w:rsidR="00647C18">
        <w:t xml:space="preserve">. Quando </w:t>
      </w:r>
      <w:r w:rsidR="00681BFE" w:rsidRPr="00EC7AC1">
        <w:t>atividade sexual diminui, o mesmo acontece com a intimidade nos relacionamentos,</w:t>
      </w:r>
      <w:r w:rsidR="00A9237F">
        <w:t xml:space="preserve"> </w:t>
      </w:r>
      <w:r w:rsidR="00681BFE" w:rsidRPr="00EC7AC1">
        <w:t>devido à diminuição nos níveis de contato físico, comunicação de sentimentos e ações íntimas.</w:t>
      </w:r>
      <w:r w:rsidR="0069571D">
        <w:t xml:space="preserve"> </w:t>
      </w:r>
      <w:r w:rsidR="00A51453" w:rsidRPr="00EC7AC1">
        <w:t>Essa situação pode</w:t>
      </w:r>
      <w:r w:rsidR="00681BFE" w:rsidRPr="00EC7AC1">
        <w:t xml:space="preserve"> resultar, muitas vezes, em abandono pelos maridos, contribuindo assim, com a carga global</w:t>
      </w:r>
      <w:r w:rsidR="009160A8">
        <w:t xml:space="preserve"> </w:t>
      </w:r>
      <w:r w:rsidR="00681BFE" w:rsidRPr="00EC7AC1">
        <w:t>do câncer p</w:t>
      </w:r>
      <w:r w:rsidR="00B02CD3">
        <w:t>ara a mulher e seus familiares</w:t>
      </w:r>
      <w:r w:rsidR="0069571D">
        <w:t xml:space="preserve"> (BERNARDO et al., 2007; CLEARY; </w:t>
      </w:r>
      <w:r w:rsidR="0069571D" w:rsidRPr="00326062">
        <w:t>HEGARTY,</w:t>
      </w:r>
      <w:r w:rsidR="00E326B6">
        <w:t xml:space="preserve"> 2011)</w:t>
      </w:r>
      <w:r w:rsidR="00681BFE" w:rsidRPr="00EC7AC1">
        <w:t>.</w:t>
      </w:r>
    </w:p>
    <w:p w:rsidR="00C57B48" w:rsidRPr="00EC7AC1" w:rsidRDefault="00B5722A" w:rsidP="00C57B48">
      <w:pPr>
        <w:spacing w:line="480" w:lineRule="auto"/>
        <w:ind w:right="23" w:firstLine="600"/>
        <w:jc w:val="both"/>
      </w:pPr>
      <w:r w:rsidRPr="00EC7AC1">
        <w:t>C</w:t>
      </w:r>
      <w:r w:rsidR="00D31D08" w:rsidRPr="00EC7AC1">
        <w:t>omo as sobreviventes ao CCU são relativamente jovens, a disfunção sexual decorrente do tratamento pode ter maior impacto na QV em relação a outros tipos de cânceres com maior prevalência em mulheres mais velhas</w:t>
      </w:r>
      <w:r w:rsidR="00326062">
        <w:t xml:space="preserve"> (PFAENDLER et al.,</w:t>
      </w:r>
      <w:r w:rsidR="00971BFC">
        <w:t xml:space="preserve"> 2015)</w:t>
      </w:r>
      <w:r w:rsidR="00D31D08" w:rsidRPr="00EC7AC1">
        <w:t>. Neste contexto,</w:t>
      </w:r>
      <w:r w:rsidR="00624A7D">
        <w:t xml:space="preserve"> alguns autores </w:t>
      </w:r>
      <w:r w:rsidR="00E43C61" w:rsidRPr="00EC7AC1">
        <w:t xml:space="preserve">afirmam que a atividade sexual constitui um dos índices </w:t>
      </w:r>
      <w:r w:rsidR="00E43C61" w:rsidRPr="00EC7AC1">
        <w:lastRenderedPageBreak/>
        <w:t xml:space="preserve">pelo qual se mede o nível de QV, porém, ressaltam que, muitas vezes, a anamnese e o exame físico mais detalhado, enfocando aspectos sexuais, não são realizados de forma rotineira, o que pode </w:t>
      </w:r>
      <w:r w:rsidR="00681BFE" w:rsidRPr="00EC7AC1">
        <w:t xml:space="preserve">contribuir para a </w:t>
      </w:r>
      <w:r w:rsidR="00D31162" w:rsidRPr="00EC7AC1">
        <w:t>persistência de dúvidas e insatisfação sexual</w:t>
      </w:r>
      <w:r w:rsidR="00326062">
        <w:t xml:space="preserve"> (BERNARDO et al.,</w:t>
      </w:r>
      <w:r w:rsidR="00624A7D">
        <w:t xml:space="preserve"> 2007)</w:t>
      </w:r>
      <w:r w:rsidR="00D31D08" w:rsidRPr="00EC7AC1">
        <w:t>.</w:t>
      </w:r>
      <w:r w:rsidR="001D0F6D" w:rsidRPr="00EC7AC1">
        <w:t xml:space="preserve"> Estes aspectos podem explicar</w:t>
      </w:r>
      <w:r w:rsidR="00425BEE" w:rsidRPr="00EC7AC1">
        <w:t xml:space="preserve">, em parte, </w:t>
      </w:r>
      <w:r w:rsidR="001D0F6D" w:rsidRPr="00EC7AC1">
        <w:t xml:space="preserve">o </w:t>
      </w:r>
      <w:r w:rsidR="00425BEE" w:rsidRPr="00EC7AC1">
        <w:t xml:space="preserve">maior percentual de disfunção sexual e </w:t>
      </w:r>
      <w:r w:rsidR="001D0F6D" w:rsidRPr="00EC7AC1">
        <w:t>o</w:t>
      </w:r>
      <w:r w:rsidR="00425BEE" w:rsidRPr="00EC7AC1">
        <w:t xml:space="preserve"> menor percentual de mulheres vivendo com companheiro</w:t>
      </w:r>
      <w:r w:rsidR="001D0F6D" w:rsidRPr="00EC7AC1">
        <w:t xml:space="preserve"> e que classificam o relacionamento com o mesmo como bom/muito bom, </w:t>
      </w:r>
      <w:r w:rsidR="00425BEE" w:rsidRPr="00EC7AC1">
        <w:t>observado no grupo câncer</w:t>
      </w:r>
      <w:r w:rsidR="00326062">
        <w:t xml:space="preserve"> em relação ao grupo controle. </w:t>
      </w:r>
      <w:r w:rsidR="00C57B48" w:rsidRPr="00BE6D86">
        <w:t>Cabe destacar ainda que, no presente estudo,</w:t>
      </w:r>
      <w:r w:rsidR="009160A8">
        <w:t xml:space="preserve"> </w:t>
      </w:r>
      <w:r w:rsidR="00C57B48" w:rsidRPr="00BE6D86">
        <w:t>a maioria das sobreviventes ao CCU relatou que o câncer e/ou seu tratamento teve impacto na sua vida sexual.</w:t>
      </w:r>
    </w:p>
    <w:p w:rsidR="00E43C61" w:rsidRPr="00EC7AC1" w:rsidRDefault="009160A8" w:rsidP="009160A8">
      <w:pPr>
        <w:spacing w:line="480" w:lineRule="auto"/>
        <w:ind w:right="23" w:firstLine="600"/>
        <w:jc w:val="both"/>
      </w:pPr>
      <w:r w:rsidRPr="00C57B48">
        <w:t>Neste sentido,</w:t>
      </w:r>
      <w:r>
        <w:t xml:space="preserve"> </w:t>
      </w:r>
      <w:r w:rsidRPr="00C57B48">
        <w:t xml:space="preserve">de acordo com </w:t>
      </w:r>
      <w:r w:rsidRPr="00326062">
        <w:t xml:space="preserve">Khalil e </w:t>
      </w:r>
      <w:r w:rsidR="00326062">
        <w:t xml:space="preserve">outros </w:t>
      </w:r>
      <w:r>
        <w:t>(2015)</w:t>
      </w:r>
      <w:r w:rsidRPr="00C57B48">
        <w:t>, as sobreviventes ao CCU cujo status de estado civil muda após o diagnóstico de câncer de colo do útero, são mais propensas a ter QV inferiores.</w:t>
      </w:r>
      <w:r w:rsidRPr="00C57B48">
        <w:rPr>
          <w:rStyle w:val="apple-converted-space"/>
        </w:rPr>
        <w:t> Os autores verificaram, em uma amostra de 110 mulheres, que</w:t>
      </w:r>
      <w:r w:rsidRPr="00C57B48">
        <w:t xml:space="preserve"> 39% das mulheres casadas ​​quando diagnosticadas estavam divorciadas no momento da entrevista, sendo que 72% atribuiu seu divórcio ao CCU. O principal motivo relatado pelas sobreviventes para não ser sexualmente ativa foi o medo de desenvolver uma recaída ou uma infecção (41%), o que sugere a falta de orientação da equipe em relação à sexualidade</w:t>
      </w:r>
      <w:r>
        <w:t xml:space="preserve"> (</w:t>
      </w:r>
      <w:r w:rsidR="00326062">
        <w:t>KHALIL et al.,</w:t>
      </w:r>
      <w:r w:rsidRPr="00326062">
        <w:t xml:space="preserve"> 2015</w:t>
      </w:r>
      <w:r>
        <w:t>).</w:t>
      </w:r>
    </w:p>
    <w:p w:rsidR="00E43C61" w:rsidRPr="00EC7AC1" w:rsidRDefault="001D0F6D" w:rsidP="00193B24">
      <w:pPr>
        <w:spacing w:line="480" w:lineRule="auto"/>
        <w:ind w:right="23" w:firstLine="600"/>
        <w:jc w:val="both"/>
      </w:pPr>
      <w:r w:rsidRPr="00EC7AC1">
        <w:t xml:space="preserve">Em contraste com os nossos resultados, </w:t>
      </w:r>
      <w:r w:rsidR="00E43C61" w:rsidRPr="00EC7AC1">
        <w:t>Fernandes e Kimura</w:t>
      </w:r>
      <w:r w:rsidR="009160A8">
        <w:t xml:space="preserve"> </w:t>
      </w:r>
      <w:r w:rsidR="00DD72EC">
        <w:t>(2010)</w:t>
      </w:r>
      <w:r w:rsidR="00E43C61" w:rsidRPr="00EC7AC1">
        <w:t xml:space="preserve"> verificaram que a situação conjugal foi fator preditivo para o domínio “preocupações adicionais” da QV, indicando que a presença de um companheiro gera maior conforto e suporte emocional à paciente com diagnóstico de câncer de colo uterino. </w:t>
      </w:r>
      <w:proofErr w:type="spellStart"/>
      <w:r w:rsidR="00E43C61" w:rsidRPr="00EC7AC1">
        <w:t>Biffi</w:t>
      </w:r>
      <w:proofErr w:type="spellEnd"/>
      <w:r w:rsidR="00E43C61" w:rsidRPr="00EC7AC1">
        <w:t xml:space="preserve"> e Mamede</w:t>
      </w:r>
      <w:r w:rsidR="009160A8">
        <w:t xml:space="preserve"> </w:t>
      </w:r>
      <w:r w:rsidR="00DD72EC">
        <w:t xml:space="preserve">(2004) </w:t>
      </w:r>
      <w:r w:rsidR="00E43C61" w:rsidRPr="00EC7AC1">
        <w:t xml:space="preserve">também enfatizam o parceiro sexual como uma das fontes de apoio social mais importante na assistência à saúde da mulher com câncer. Para estes autores, a relação de </w:t>
      </w:r>
      <w:r w:rsidR="00E43C61" w:rsidRPr="00EC7AC1">
        <w:lastRenderedPageBreak/>
        <w:t>reciprocidade e ajuda pode favorecer recursos psicológicos e físicos, tornando a mulher mais capaz para enfrentar as dificuldades encontradas com sucesso.</w:t>
      </w:r>
    </w:p>
    <w:p w:rsidR="00E43C61" w:rsidRPr="00EC7AC1" w:rsidRDefault="001D0F6D" w:rsidP="00193B24">
      <w:pPr>
        <w:spacing w:line="480" w:lineRule="auto"/>
        <w:ind w:right="23" w:firstLine="600"/>
        <w:jc w:val="both"/>
      </w:pPr>
      <w:r w:rsidRPr="00EC7AC1">
        <w:t>No presente estudo, a referência dos amigos como fonte de apoio extrafamiliar foi fator independentemente associado à QV.</w:t>
      </w:r>
      <w:r w:rsidR="005E1B5D">
        <w:t xml:space="preserve"> </w:t>
      </w:r>
      <w:r w:rsidR="00330018" w:rsidRPr="00EC7AC1">
        <w:t>Em</w:t>
      </w:r>
      <w:r w:rsidR="004846D4" w:rsidRPr="00EC7AC1">
        <w:t xml:space="preserve"> estudo </w:t>
      </w:r>
      <w:r w:rsidR="0077008F" w:rsidRPr="00EC7AC1">
        <w:t xml:space="preserve">realizado por </w:t>
      </w:r>
      <w:r w:rsidR="00D31D08" w:rsidRPr="00EC7AC1">
        <w:t>Khali</w:t>
      </w:r>
      <w:r w:rsidR="004846D4" w:rsidRPr="00EC7AC1">
        <w:t>l</w:t>
      </w:r>
      <w:r w:rsidR="00AF663A" w:rsidRPr="00EC7AC1">
        <w:t xml:space="preserve"> e</w:t>
      </w:r>
      <w:r w:rsidR="00326062">
        <w:t xml:space="preserve"> outros</w:t>
      </w:r>
      <w:r w:rsidR="00DD72EC">
        <w:t xml:space="preserve"> (2015)</w:t>
      </w:r>
      <w:r w:rsidR="00D31D08" w:rsidRPr="00EC7AC1">
        <w:t xml:space="preserve">, </w:t>
      </w:r>
      <w:r w:rsidR="00A44304" w:rsidRPr="00EC7AC1">
        <w:t xml:space="preserve">apoio social e bem-estar espiritual foram </w:t>
      </w:r>
      <w:r w:rsidR="00D31D08" w:rsidRPr="00EC7AC1">
        <w:t>os preditores de QV e</w:t>
      </w:r>
      <w:r w:rsidR="00A44304" w:rsidRPr="00EC7AC1">
        <w:t>m mulheres sobreviventes ao CCU</w:t>
      </w:r>
      <w:r w:rsidR="004846D4" w:rsidRPr="00EC7AC1">
        <w:t xml:space="preserve">. </w:t>
      </w:r>
      <w:r w:rsidR="00A44304" w:rsidRPr="00EC7AC1">
        <w:t xml:space="preserve">Desta forma, estes resultados reforçam a importância deste tipo de apoio </w:t>
      </w:r>
      <w:r w:rsidR="00E43C61" w:rsidRPr="00EC7AC1">
        <w:t xml:space="preserve">para a mulher. </w:t>
      </w:r>
      <w:r w:rsidR="00A44304" w:rsidRPr="00EC7AC1">
        <w:t xml:space="preserve">Nesta perspectiva, tal </w:t>
      </w:r>
      <w:r w:rsidR="00E43C61" w:rsidRPr="00EC7AC1">
        <w:t>questão deve fazer parte de uma avaliação holística da paciente e, caso esta não tenha este tipo de apoio, outras fontes devem ser estimuladas a fi</w:t>
      </w:r>
      <w:r w:rsidR="00F6201F">
        <w:t xml:space="preserve">m de oferecer suporte adequado. </w:t>
      </w:r>
      <w:r w:rsidR="00A51453" w:rsidRPr="00EC7AC1">
        <w:t>Q</w:t>
      </w:r>
      <w:r w:rsidR="00E43C61" w:rsidRPr="00EC7AC1">
        <w:t>uanto mais suporte social um indivíduo obtém, melhor será o enfrent</w:t>
      </w:r>
      <w:r w:rsidR="00DD72EC">
        <w:t xml:space="preserve">amento </w:t>
      </w:r>
      <w:r w:rsidR="00326062">
        <w:t>de situações de estresse (BIFFI; MAMEDE,</w:t>
      </w:r>
      <w:r w:rsidR="00DD72EC">
        <w:t xml:space="preserve"> 2004)</w:t>
      </w:r>
      <w:r w:rsidR="00E43C61" w:rsidRPr="00EC7AC1">
        <w:t>.</w:t>
      </w:r>
    </w:p>
    <w:p w:rsidR="00656180" w:rsidRPr="00EC7AC1" w:rsidRDefault="00656180" w:rsidP="00193B24">
      <w:pPr>
        <w:spacing w:line="480" w:lineRule="auto"/>
        <w:ind w:right="23" w:firstLine="600"/>
        <w:jc w:val="both"/>
      </w:pPr>
      <w:r w:rsidRPr="00EC7AC1">
        <w:t xml:space="preserve">Os resultados </w:t>
      </w:r>
      <w:r w:rsidR="00C57B48">
        <w:t xml:space="preserve">deste estudo </w:t>
      </w:r>
      <w:r w:rsidRPr="00EC7AC1">
        <w:t xml:space="preserve">indicam a importância de uma investigação completa envolvendo os </w:t>
      </w:r>
      <w:r w:rsidR="00D31162" w:rsidRPr="00EC7AC1">
        <w:t xml:space="preserve">efeitos adversos do tratamento e </w:t>
      </w:r>
      <w:r w:rsidRPr="00EC7AC1">
        <w:t>a rede de suporte social da paciente</w:t>
      </w:r>
      <w:r w:rsidR="00D31162" w:rsidRPr="00EC7AC1">
        <w:t xml:space="preserve"> em um contexto no qual a</w:t>
      </w:r>
      <w:r w:rsidR="00A9237F">
        <w:t xml:space="preserve"> </w:t>
      </w:r>
      <w:r w:rsidR="00BE6D86">
        <w:t>QV</w:t>
      </w:r>
      <w:r w:rsidRPr="00EC7AC1">
        <w:t xml:space="preserve"> deve ser cada vez mais valorizada, em detrimento do tempo de vida em condiç</w:t>
      </w:r>
      <w:r w:rsidR="00D31162" w:rsidRPr="00EC7AC1">
        <w:t>ão limitada ou incapacitada</w:t>
      </w:r>
      <w:r w:rsidR="006539B3">
        <w:t xml:space="preserve"> </w:t>
      </w:r>
      <w:r w:rsidR="00DD72EC">
        <w:t>(FLECK, 2000)</w:t>
      </w:r>
      <w:r w:rsidR="00D31162" w:rsidRPr="00EC7AC1">
        <w:t xml:space="preserve">. </w:t>
      </w:r>
      <w:r w:rsidRPr="00EC7AC1">
        <w:t>Neste sentido, destaca-se a necessidade de assistência multiprofissional no acompanhamento destas pacientes após o</w:t>
      </w:r>
      <w:r w:rsidR="00C57B48">
        <w:t xml:space="preserve"> diagnóstico do</w:t>
      </w:r>
      <w:r w:rsidRPr="00EC7AC1">
        <w:t xml:space="preserve"> câncer</w:t>
      </w:r>
      <w:r w:rsidR="00DD72EC">
        <w:t xml:space="preserve"> (VIDAL, 2008)</w:t>
      </w:r>
      <w:r w:rsidRPr="00EC7AC1">
        <w:t xml:space="preserve">, com o intuito de proporcionar atendimento integral voltado a todas estas necessidades que, na maioria das vezes, são negligenciadas.  </w:t>
      </w:r>
    </w:p>
    <w:p w:rsidR="002B570B" w:rsidRDefault="00E43C61" w:rsidP="00F053FF">
      <w:pPr>
        <w:spacing w:line="480" w:lineRule="auto"/>
        <w:ind w:right="23" w:firstLine="600"/>
        <w:jc w:val="both"/>
      </w:pPr>
      <w:r w:rsidRPr="00EC7AC1">
        <w:t>Como principal limitação desta pesquisa, destaca-se a dificuldade no recrutamento das sobreviventes ao câncer, devido, principalmente, à</w:t>
      </w:r>
      <w:r w:rsidR="00A1488D" w:rsidRPr="00EC7AC1">
        <w:t xml:space="preserve"> desatualização dos prontuários,</w:t>
      </w:r>
      <w:r w:rsidRPr="00EC7AC1">
        <w:t xml:space="preserve"> abandono de seguimento e ao fato de que muitas moravam em cidades vizinhas. Além disso, como não houve avaliação prévia, não se pode afirmar, com certeza, que as alterações observadas no grupo câncer são decorrentes exclusivamente do tratamento. </w:t>
      </w:r>
      <w:r w:rsidR="00C57B48" w:rsidRPr="00C57B48">
        <w:t xml:space="preserve">Apesar do pequeno tamanho da amostra, pode-se demonstrar com significância estatística a hipótese de que mulheres submetidas a tratamento para o CCU apresentam algum </w:t>
      </w:r>
      <w:r w:rsidR="00C57B48" w:rsidRPr="00C57B48">
        <w:lastRenderedPageBreak/>
        <w:t>impacto negativo na qualidade de vida, devendo, portanto, os fatores associados serem foco de intervenções.</w:t>
      </w:r>
    </w:p>
    <w:p w:rsidR="00F053FF" w:rsidRPr="00EC7AC1" w:rsidRDefault="00F053FF" w:rsidP="00F053FF">
      <w:pPr>
        <w:spacing w:line="480" w:lineRule="auto"/>
        <w:ind w:right="23" w:firstLine="600"/>
        <w:jc w:val="both"/>
      </w:pPr>
    </w:p>
    <w:p w:rsidR="001A35C3" w:rsidRPr="00EC7AC1" w:rsidRDefault="000D7279" w:rsidP="00193B24">
      <w:pPr>
        <w:spacing w:line="480" w:lineRule="auto"/>
        <w:ind w:right="23"/>
        <w:jc w:val="both"/>
      </w:pPr>
      <w:r>
        <w:t xml:space="preserve">5 </w:t>
      </w:r>
      <w:r w:rsidR="00E43C61" w:rsidRPr="000D7279">
        <w:rPr>
          <w:b/>
        </w:rPr>
        <w:t>CONCLUSÃO</w:t>
      </w:r>
    </w:p>
    <w:p w:rsidR="00950900" w:rsidRPr="00EC7AC1" w:rsidRDefault="00E43C61" w:rsidP="00193B24">
      <w:pPr>
        <w:spacing w:line="480" w:lineRule="auto"/>
        <w:ind w:right="23" w:firstLine="600"/>
        <w:jc w:val="both"/>
      </w:pPr>
      <w:r w:rsidRPr="00EC7AC1">
        <w:t xml:space="preserve">Diante dos achados, percebe-se que o objetivo principal das consultas de seguimento após o tratamento para o CCU não deve ser apenas avaliar a cura ou monitorar a recidiva tumoral. Deve-se também </w:t>
      </w:r>
      <w:r w:rsidR="00330018" w:rsidRPr="00EC7AC1">
        <w:t>investigar a qualidade de vida</w:t>
      </w:r>
      <w:r w:rsidRPr="00EC7AC1">
        <w:t>, assim co</w:t>
      </w:r>
      <w:r w:rsidR="00330018" w:rsidRPr="00EC7AC1">
        <w:t xml:space="preserve">mo os fatores que a </w:t>
      </w:r>
      <w:r w:rsidR="00285F73" w:rsidRPr="00EC7AC1">
        <w:t>influência</w:t>
      </w:r>
      <w:r w:rsidRPr="00EC7AC1">
        <w:t>, antes mesmo da intervenção terapêutica, com vistas a facilitar a adoção, na prática clínica, de estratégias que possam possibilitar um atendimento mais integral, direcionad</w:t>
      </w:r>
      <w:r w:rsidR="00950900" w:rsidRPr="00EC7AC1">
        <w:t>o às</w:t>
      </w:r>
      <w:r w:rsidR="00330018" w:rsidRPr="00EC7AC1">
        <w:t xml:space="preserve"> necessidades das pacientes</w:t>
      </w:r>
      <w:r w:rsidR="00950900" w:rsidRPr="00EC7AC1">
        <w:t>. Logo, a equipe multiprofissional faz-se necessária no tratamento das pacientes com CCU.</w:t>
      </w:r>
    </w:p>
    <w:p w:rsidR="00841AB7" w:rsidRDefault="00E43C61" w:rsidP="00193B24">
      <w:pPr>
        <w:spacing w:line="480" w:lineRule="auto"/>
        <w:ind w:right="23" w:firstLine="601"/>
        <w:jc w:val="both"/>
      </w:pPr>
      <w:r w:rsidRPr="00EC7AC1">
        <w:t xml:space="preserve">Os resultados obtidos neste estudo trazem informações relevantes sobre o impacto do tratamento do CCU na vida das mulheres. A partir disto, pode-se contribuir para dar maior visibilidade a estes aspectos na prática clínica, buscando guiar as intervenções </w:t>
      </w:r>
      <w:r w:rsidR="00950900" w:rsidRPr="00EC7AC1">
        <w:t>e contribuir</w:t>
      </w:r>
      <w:r w:rsidRPr="00EC7AC1">
        <w:t xml:space="preserve"> para uma melhor qualidade de vida.</w:t>
      </w:r>
    </w:p>
    <w:p w:rsidR="00AD42F6" w:rsidRPr="00D8668E" w:rsidRDefault="00AD42F6" w:rsidP="00AD42F6">
      <w:pPr>
        <w:spacing w:line="480" w:lineRule="auto"/>
        <w:jc w:val="center"/>
      </w:pPr>
    </w:p>
    <w:p w:rsidR="00AD42F6" w:rsidRPr="003E2C1B" w:rsidRDefault="00AD42F6" w:rsidP="00AD42F6">
      <w:pPr>
        <w:spacing w:line="480" w:lineRule="auto"/>
        <w:jc w:val="center"/>
        <w:rPr>
          <w:lang w:val="en-US"/>
        </w:rPr>
      </w:pPr>
      <w:r w:rsidRPr="000D7279">
        <w:rPr>
          <w:lang w:val="en-US"/>
        </w:rPr>
        <w:t>Quality of life of women surviving cervical cancer</w:t>
      </w:r>
    </w:p>
    <w:p w:rsidR="00AD42F6" w:rsidRPr="003E2C1B" w:rsidRDefault="00AD42F6" w:rsidP="00AD42F6">
      <w:pPr>
        <w:suppressAutoHyphens/>
        <w:spacing w:line="480" w:lineRule="auto"/>
        <w:jc w:val="both"/>
        <w:rPr>
          <w:iCs/>
          <w:shd w:val="clear" w:color="auto" w:fill="FFFFFF"/>
          <w:lang w:val="en-US"/>
        </w:rPr>
      </w:pPr>
      <w:r w:rsidRPr="00AD42F6">
        <w:rPr>
          <w:b/>
          <w:iCs/>
          <w:noProof/>
        </w:rPr>
        <mc:AlternateContent>
          <mc:Choice Requires="wps">
            <w:drawing>
              <wp:anchor distT="0" distB="0" distL="114300" distR="114300" simplePos="0" relativeHeight="251661312" behindDoc="0" locked="0" layoutInCell="1" allowOverlap="1" wp14:anchorId="3BA39889" wp14:editId="0E1F9BEF">
                <wp:simplePos x="0" y="0"/>
                <wp:positionH relativeFrom="column">
                  <wp:posOffset>5215890</wp:posOffset>
                </wp:positionH>
                <wp:positionV relativeFrom="paragraph">
                  <wp:posOffset>-718185</wp:posOffset>
                </wp:positionV>
                <wp:extent cx="438150" cy="3333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D74D2" id="Rectangle 3" o:spid="_x0000_s1026" style="position:absolute;margin-left:410.7pt;margin-top:-56.55pt;width:3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" stroked="f"/>
            </w:pict>
          </mc:Fallback>
        </mc:AlternateContent>
      </w:r>
      <w:r w:rsidRPr="00AD42F6">
        <w:rPr>
          <w:iCs/>
          <w:shd w:val="clear" w:color="auto" w:fill="FFFFFF"/>
          <w:lang w:val="en-US"/>
        </w:rPr>
        <w:t>ABST</w:t>
      </w:r>
      <w:bookmarkStart w:id="0" w:name="_GoBack"/>
      <w:bookmarkEnd w:id="0"/>
      <w:r w:rsidRPr="00AD42F6">
        <w:rPr>
          <w:iCs/>
          <w:shd w:val="clear" w:color="auto" w:fill="FFFFFF"/>
          <w:lang w:val="en-US"/>
        </w:rPr>
        <w:t>RACT</w:t>
      </w:r>
    </w:p>
    <w:p w:rsidR="00AD42F6" w:rsidRPr="00AD42F6" w:rsidRDefault="00AD42F6" w:rsidP="00AD42F6">
      <w:pPr>
        <w:spacing w:line="480" w:lineRule="auto"/>
        <w:jc w:val="both"/>
        <w:rPr>
          <w:shd w:val="clear" w:color="auto" w:fill="FFFFFF"/>
          <w:lang w:val="en-US"/>
        </w:rPr>
      </w:pPr>
      <w:r>
        <w:rPr>
          <w:shd w:val="clear" w:color="auto" w:fill="FFFFFF"/>
          <w:lang w:val="en-US"/>
        </w:rPr>
        <w:t>The present study aims t</w:t>
      </w:r>
      <w:r w:rsidRPr="00EC7AC1">
        <w:rPr>
          <w:shd w:val="clear" w:color="auto" w:fill="FFFFFF"/>
          <w:lang w:val="en-US"/>
        </w:rPr>
        <w:t xml:space="preserve">o compare </w:t>
      </w:r>
      <w:r>
        <w:rPr>
          <w:shd w:val="clear" w:color="auto" w:fill="FFFFFF"/>
          <w:lang w:val="en-US"/>
        </w:rPr>
        <w:t>the</w:t>
      </w:r>
      <w:r w:rsidRPr="00EC7AC1">
        <w:rPr>
          <w:shd w:val="clear" w:color="auto" w:fill="FFFFFF"/>
          <w:lang w:val="en-US"/>
        </w:rPr>
        <w:t xml:space="preserve"> quality of life </w:t>
      </w:r>
      <w:r>
        <w:rPr>
          <w:shd w:val="clear" w:color="auto" w:fill="FFFFFF"/>
          <w:lang w:val="en-US"/>
        </w:rPr>
        <w:t xml:space="preserve">between </w:t>
      </w:r>
      <w:r w:rsidRPr="00EC7AC1">
        <w:rPr>
          <w:shd w:val="clear" w:color="auto" w:fill="FFFFFF"/>
          <w:lang w:val="en-US"/>
        </w:rPr>
        <w:t xml:space="preserve">cervical cancer </w:t>
      </w:r>
      <w:r>
        <w:rPr>
          <w:shd w:val="clear" w:color="auto" w:fill="FFFFFF"/>
          <w:lang w:val="en-US"/>
        </w:rPr>
        <w:t>survivors and</w:t>
      </w:r>
      <w:r w:rsidRPr="00EC7AC1">
        <w:rPr>
          <w:shd w:val="clear" w:color="auto" w:fill="FFFFFF"/>
          <w:lang w:val="en-US"/>
        </w:rPr>
        <w:t xml:space="preserve"> control group.</w:t>
      </w:r>
      <w:r>
        <w:rPr>
          <w:shd w:val="clear" w:color="auto" w:fill="FFFFFF"/>
          <w:lang w:val="en-US"/>
        </w:rPr>
        <w:t xml:space="preserve"> </w:t>
      </w:r>
      <w:r w:rsidRPr="00947FCB">
        <w:rPr>
          <w:lang w:val="en-US"/>
        </w:rPr>
        <w:t>Women undergoing treatment for cervical cancer</w:t>
      </w:r>
      <w:r w:rsidRPr="005148F0">
        <w:rPr>
          <w:lang w:val="en-US"/>
        </w:rPr>
        <w:t xml:space="preserve"> from a minimum of</w:t>
      </w:r>
      <w:r>
        <w:rPr>
          <w:lang w:val="en-US"/>
        </w:rPr>
        <w:t xml:space="preserve"> </w:t>
      </w:r>
      <w:r w:rsidRPr="005148F0">
        <w:rPr>
          <w:lang w:val="en-US"/>
        </w:rPr>
        <w:t>three months</w:t>
      </w:r>
      <w:r>
        <w:rPr>
          <w:lang w:val="en-US"/>
        </w:rPr>
        <w:t xml:space="preserve"> </w:t>
      </w:r>
      <w:r w:rsidRPr="005148F0">
        <w:rPr>
          <w:lang w:val="en-US"/>
        </w:rPr>
        <w:t xml:space="preserve">were included in the cancer group (n = 37). </w:t>
      </w:r>
      <w:r w:rsidRPr="005148F0">
        <w:rPr>
          <w:shd w:val="clear" w:color="auto" w:fill="FFFFFF"/>
          <w:lang w:val="en-US"/>
        </w:rPr>
        <w:t xml:space="preserve">In the control group, which is population-based, were included women </w:t>
      </w:r>
      <w:r>
        <w:rPr>
          <w:lang w:val="en-US"/>
        </w:rPr>
        <w:t xml:space="preserve">without </w:t>
      </w:r>
      <w:r>
        <w:rPr>
          <w:shd w:val="clear" w:color="auto" w:fill="FFFFFF"/>
          <w:lang w:val="en-US"/>
        </w:rPr>
        <w:t>history of cancer (n = 37). The</w:t>
      </w:r>
      <w:r w:rsidRPr="00EC7AC1">
        <w:rPr>
          <w:shd w:val="clear" w:color="auto" w:fill="FFFFFF"/>
          <w:lang w:val="en-US"/>
        </w:rPr>
        <w:t xml:space="preserve"> quality of life</w:t>
      </w:r>
      <w:r>
        <w:rPr>
          <w:shd w:val="clear" w:color="auto" w:fill="FFFFFF"/>
          <w:lang w:val="en-US"/>
        </w:rPr>
        <w:t xml:space="preserve"> </w:t>
      </w:r>
      <w:r w:rsidRPr="005148F0">
        <w:rPr>
          <w:lang w:val="en-US"/>
        </w:rPr>
        <w:t>was evaluated</w:t>
      </w:r>
      <w:r>
        <w:rPr>
          <w:lang w:val="en-US"/>
        </w:rPr>
        <w:t xml:space="preserve"> </w:t>
      </w:r>
      <w:r w:rsidRPr="005148F0">
        <w:rPr>
          <w:lang w:val="en-US"/>
        </w:rPr>
        <w:t>using</w:t>
      </w:r>
      <w:r>
        <w:rPr>
          <w:lang w:val="en-US"/>
        </w:rPr>
        <w:t xml:space="preserve"> </w:t>
      </w:r>
      <w:r w:rsidRPr="005148F0">
        <w:rPr>
          <w:shd w:val="clear" w:color="auto" w:fill="FFFFFF"/>
          <w:lang w:val="en-US"/>
        </w:rPr>
        <w:t>WHOQOL-</w:t>
      </w:r>
      <w:proofErr w:type="spellStart"/>
      <w:r w:rsidRPr="005148F0">
        <w:rPr>
          <w:shd w:val="clear" w:color="auto" w:fill="FFFFFF"/>
          <w:lang w:val="en-US"/>
        </w:rPr>
        <w:t>bref</w:t>
      </w:r>
      <w:proofErr w:type="spellEnd"/>
      <w:r w:rsidRPr="005148F0">
        <w:rPr>
          <w:shd w:val="clear" w:color="auto" w:fill="FFFFFF"/>
          <w:lang w:val="en-US"/>
        </w:rPr>
        <w:t>.</w:t>
      </w:r>
      <w:r>
        <w:rPr>
          <w:shd w:val="clear" w:color="auto" w:fill="FFFFFF"/>
          <w:lang w:val="en-US"/>
        </w:rPr>
        <w:t xml:space="preserve"> </w:t>
      </w:r>
      <w:r w:rsidRPr="00EC7AC1">
        <w:rPr>
          <w:lang w:val="en-GB"/>
        </w:rPr>
        <w:t>In comparison to control</w:t>
      </w:r>
      <w:r>
        <w:rPr>
          <w:lang w:val="en-GB"/>
        </w:rPr>
        <w:t xml:space="preserve"> group</w:t>
      </w:r>
      <w:r w:rsidRPr="00EC7AC1">
        <w:rPr>
          <w:lang w:val="en-GB"/>
        </w:rPr>
        <w:t xml:space="preserve">, the cancer group </w:t>
      </w:r>
      <w:r>
        <w:rPr>
          <w:lang w:val="en-GB"/>
        </w:rPr>
        <w:t>presented</w:t>
      </w:r>
      <w:r w:rsidRPr="00EC7AC1">
        <w:rPr>
          <w:lang w:val="en-GB"/>
        </w:rPr>
        <w:t xml:space="preserve"> higher </w:t>
      </w:r>
      <w:r>
        <w:rPr>
          <w:lang w:val="en-GB"/>
        </w:rPr>
        <w:t xml:space="preserve">proportion </w:t>
      </w:r>
      <w:r w:rsidRPr="00EC7AC1">
        <w:rPr>
          <w:lang w:val="en-GB"/>
        </w:rPr>
        <w:t>of women who lived without a partner</w:t>
      </w:r>
      <w:r>
        <w:rPr>
          <w:lang w:val="en-GB"/>
        </w:rPr>
        <w:t xml:space="preserve"> and </w:t>
      </w:r>
      <w:r w:rsidRPr="00EC7AC1">
        <w:rPr>
          <w:lang w:val="en-GB"/>
        </w:rPr>
        <w:t xml:space="preserve">who </w:t>
      </w:r>
      <w:r w:rsidRPr="00EC7AC1">
        <w:rPr>
          <w:lang w:val="en-GB"/>
        </w:rPr>
        <w:lastRenderedPageBreak/>
        <w:t>considered the relationship with their partner as poor / regular</w:t>
      </w:r>
      <w:r>
        <w:rPr>
          <w:lang w:val="en-GB"/>
        </w:rPr>
        <w:t xml:space="preserve">. In addition, cervical cancer survivors have </w:t>
      </w:r>
      <w:r w:rsidRPr="00EC7AC1">
        <w:rPr>
          <w:lang w:val="en-GB"/>
        </w:rPr>
        <w:t xml:space="preserve">urinary, intestinal and sexual dysfunctions. </w:t>
      </w:r>
      <w:r>
        <w:rPr>
          <w:lang w:val="en-GB"/>
        </w:rPr>
        <w:t>Besides</w:t>
      </w:r>
      <w:r w:rsidRPr="00EC7AC1">
        <w:rPr>
          <w:lang w:val="en-GB"/>
        </w:rPr>
        <w:t xml:space="preserve">, the cancer group </w:t>
      </w:r>
      <w:r>
        <w:rPr>
          <w:lang w:val="en-GB"/>
        </w:rPr>
        <w:t xml:space="preserve">exhibited poor </w:t>
      </w:r>
      <w:r w:rsidRPr="00EC7AC1">
        <w:rPr>
          <w:lang w:val="en-GB"/>
        </w:rPr>
        <w:t>score in the "Physical" and "Social Relations" domains of WHOQOL-</w:t>
      </w:r>
      <w:proofErr w:type="spellStart"/>
      <w:r w:rsidRPr="00EC7AC1">
        <w:rPr>
          <w:lang w:val="en-GB"/>
        </w:rPr>
        <w:t>bref</w:t>
      </w:r>
      <w:proofErr w:type="spellEnd"/>
      <w:r w:rsidRPr="00EC7AC1">
        <w:rPr>
          <w:lang w:val="en-GB"/>
        </w:rPr>
        <w:t>. The factors independently associated with "Physical" domain</w:t>
      </w:r>
      <w:r>
        <w:rPr>
          <w:lang w:val="en-GB"/>
        </w:rPr>
        <w:t xml:space="preserve"> were </w:t>
      </w:r>
      <w:r w:rsidRPr="00EC7AC1">
        <w:rPr>
          <w:lang w:val="en-GB"/>
        </w:rPr>
        <w:t>lower limb lymphedema and urinary retention</w:t>
      </w:r>
      <w:r>
        <w:rPr>
          <w:lang w:val="en-GB"/>
        </w:rPr>
        <w:t xml:space="preserve">, </w:t>
      </w:r>
      <w:r w:rsidRPr="00EC7AC1">
        <w:rPr>
          <w:lang w:val="en-GB"/>
        </w:rPr>
        <w:t xml:space="preserve">and </w:t>
      </w:r>
      <w:r>
        <w:rPr>
          <w:lang w:val="en-GB"/>
        </w:rPr>
        <w:t xml:space="preserve">with </w:t>
      </w:r>
      <w:r w:rsidRPr="00EC7AC1">
        <w:rPr>
          <w:lang w:val="en-GB"/>
        </w:rPr>
        <w:t>"Social Relations"</w:t>
      </w:r>
      <w:r>
        <w:rPr>
          <w:lang w:val="en-GB"/>
        </w:rPr>
        <w:t xml:space="preserve"> </w:t>
      </w:r>
      <w:r w:rsidRPr="00EC7AC1">
        <w:rPr>
          <w:lang w:val="en-GB"/>
        </w:rPr>
        <w:t>domain</w:t>
      </w:r>
      <w:r>
        <w:rPr>
          <w:lang w:val="en-GB"/>
        </w:rPr>
        <w:t xml:space="preserve"> were </w:t>
      </w:r>
      <w:r w:rsidRPr="00EC7AC1">
        <w:rPr>
          <w:lang w:val="en-GB"/>
        </w:rPr>
        <w:t>social support of friends and vaginal stenosis / shortening.</w:t>
      </w:r>
      <w:r>
        <w:rPr>
          <w:shd w:val="clear" w:color="auto" w:fill="FFFFFF"/>
          <w:lang w:val="en-US"/>
        </w:rPr>
        <w:t xml:space="preserve"> </w:t>
      </w:r>
      <w:r w:rsidRPr="00EC7AC1">
        <w:rPr>
          <w:lang w:val="en-GB"/>
        </w:rPr>
        <w:t>The results indicate negative impact of the disease and its treatment on</w:t>
      </w:r>
      <w:r>
        <w:rPr>
          <w:lang w:val="en-GB"/>
        </w:rPr>
        <w:t xml:space="preserve"> QOL</w:t>
      </w:r>
      <w:r w:rsidRPr="00EC7AC1">
        <w:rPr>
          <w:lang w:val="en-GB"/>
        </w:rPr>
        <w:t xml:space="preserve"> of </w:t>
      </w:r>
      <w:r>
        <w:rPr>
          <w:lang w:val="en-GB"/>
        </w:rPr>
        <w:t xml:space="preserve">cervical cancer </w:t>
      </w:r>
      <w:r w:rsidRPr="00EC7AC1">
        <w:rPr>
          <w:lang w:val="en-GB"/>
        </w:rPr>
        <w:t xml:space="preserve">survivors. </w:t>
      </w:r>
      <w:r>
        <w:rPr>
          <w:lang w:val="en-GB"/>
        </w:rPr>
        <w:t>Thus</w:t>
      </w:r>
      <w:r w:rsidRPr="00EC7AC1">
        <w:rPr>
          <w:lang w:val="en-GB"/>
        </w:rPr>
        <w:t xml:space="preserve">, </w:t>
      </w:r>
      <w:r>
        <w:rPr>
          <w:lang w:val="en-GB"/>
        </w:rPr>
        <w:t xml:space="preserve">it should be investigated the </w:t>
      </w:r>
      <w:r w:rsidRPr="00EC7AC1">
        <w:rPr>
          <w:shd w:val="clear" w:color="auto" w:fill="FFFFFF"/>
          <w:lang w:val="en-US"/>
        </w:rPr>
        <w:t>quality of life</w:t>
      </w:r>
      <w:r w:rsidRPr="00EC7AC1">
        <w:rPr>
          <w:lang w:val="en-GB"/>
        </w:rPr>
        <w:t xml:space="preserve"> and the factors </w:t>
      </w:r>
      <w:r>
        <w:rPr>
          <w:lang w:val="en-GB"/>
        </w:rPr>
        <w:t>associated with it in order to improve patient’s</w:t>
      </w:r>
      <w:r w:rsidRPr="00EC7AC1">
        <w:rPr>
          <w:lang w:val="en-GB"/>
        </w:rPr>
        <w:t xml:space="preserve"> care, </w:t>
      </w:r>
      <w:r>
        <w:rPr>
          <w:lang w:val="en-GB"/>
        </w:rPr>
        <w:t xml:space="preserve">which should be performed by </w:t>
      </w:r>
      <w:proofErr w:type="spellStart"/>
      <w:r w:rsidRPr="00EC7AC1">
        <w:rPr>
          <w:lang w:val="en-GB"/>
        </w:rPr>
        <w:t>multiprofessional</w:t>
      </w:r>
      <w:proofErr w:type="spellEnd"/>
      <w:r w:rsidRPr="00EC7AC1">
        <w:rPr>
          <w:lang w:val="en-GB"/>
        </w:rPr>
        <w:t xml:space="preserve"> team.</w:t>
      </w:r>
    </w:p>
    <w:p w:rsidR="00AD42F6" w:rsidRPr="007842E2" w:rsidRDefault="00AD42F6" w:rsidP="00AD42F6">
      <w:pPr>
        <w:spacing w:line="480" w:lineRule="auto"/>
        <w:jc w:val="both"/>
        <w:rPr>
          <w:lang w:val="en-GB"/>
        </w:rPr>
      </w:pPr>
      <w:r w:rsidRPr="003E2C1B">
        <w:rPr>
          <w:color w:val="212121"/>
          <w:shd w:val="clear" w:color="auto" w:fill="FFFFFF"/>
          <w:lang w:val="en-GB"/>
        </w:rPr>
        <w:t>Keywords</w:t>
      </w:r>
      <w:r w:rsidRPr="009136A1">
        <w:rPr>
          <w:bCs/>
          <w:lang w:val="en-GB"/>
        </w:rPr>
        <w:t>: Uterine Cervical Neoplasms; Survivors; Quality of Life</w:t>
      </w:r>
    </w:p>
    <w:p w:rsidR="00AD42F6" w:rsidRPr="00AD42F6" w:rsidRDefault="00AD42F6" w:rsidP="00193B24">
      <w:pPr>
        <w:spacing w:line="480" w:lineRule="auto"/>
        <w:ind w:right="23" w:firstLine="601"/>
        <w:jc w:val="both"/>
        <w:rPr>
          <w:lang w:val="en-GB"/>
        </w:rPr>
      </w:pPr>
    </w:p>
    <w:p w:rsidR="00C12C86" w:rsidRPr="00AD42F6" w:rsidRDefault="00C12C86" w:rsidP="00E42914">
      <w:pPr>
        <w:spacing w:line="360" w:lineRule="auto"/>
        <w:ind w:right="23"/>
        <w:jc w:val="both"/>
        <w:rPr>
          <w:lang w:val="en-GB"/>
        </w:rPr>
      </w:pPr>
    </w:p>
    <w:p w:rsidR="00F553F1" w:rsidRPr="004623D4" w:rsidRDefault="00E43C61" w:rsidP="00EC1A74">
      <w:pPr>
        <w:spacing w:after="200" w:line="480" w:lineRule="auto"/>
        <w:rPr>
          <w:b/>
          <w:lang w:val="en-GB"/>
        </w:rPr>
      </w:pPr>
      <w:r w:rsidRPr="004623D4">
        <w:rPr>
          <w:b/>
          <w:lang w:val="en-GB"/>
        </w:rPr>
        <w:t>R</w:t>
      </w:r>
      <w:r w:rsidR="00841AB7" w:rsidRPr="004623D4">
        <w:rPr>
          <w:b/>
          <w:lang w:val="en-GB"/>
        </w:rPr>
        <w:t>EFER</w:t>
      </w:r>
      <w:r w:rsidR="00127529" w:rsidRPr="004623D4">
        <w:rPr>
          <w:b/>
          <w:lang w:val="en-GB"/>
        </w:rPr>
        <w:t>ÊNCIAS</w:t>
      </w:r>
    </w:p>
    <w:p w:rsidR="00960B40" w:rsidRPr="004B4948" w:rsidRDefault="00960B40" w:rsidP="008C7793">
      <w:pPr>
        <w:spacing w:line="480" w:lineRule="auto"/>
        <w:ind w:right="23"/>
        <w:rPr>
          <w:lang w:val="en-GB"/>
        </w:rPr>
      </w:pPr>
      <w:r w:rsidRPr="004B4948">
        <w:rPr>
          <w:lang w:val="en-GB"/>
        </w:rPr>
        <w:t>ASHING-GIWA</w:t>
      </w:r>
      <w:r>
        <w:rPr>
          <w:lang w:val="en-GB"/>
        </w:rPr>
        <w:t>,</w:t>
      </w:r>
      <w:r w:rsidRPr="004B4948">
        <w:rPr>
          <w:lang w:val="en-GB"/>
        </w:rPr>
        <w:t xml:space="preserve"> K</w:t>
      </w:r>
      <w:r>
        <w:rPr>
          <w:lang w:val="en-GB"/>
        </w:rPr>
        <w:t xml:space="preserve">. </w:t>
      </w:r>
      <w:r w:rsidRPr="004B4948">
        <w:rPr>
          <w:lang w:val="en-GB"/>
        </w:rPr>
        <w:t>T</w:t>
      </w:r>
      <w:r>
        <w:rPr>
          <w:lang w:val="en-GB"/>
        </w:rPr>
        <w:t>.;</w:t>
      </w:r>
      <w:r w:rsidRPr="004B4948">
        <w:rPr>
          <w:lang w:val="en-GB"/>
        </w:rPr>
        <w:t> LIM</w:t>
      </w:r>
      <w:r>
        <w:rPr>
          <w:lang w:val="en-GB"/>
        </w:rPr>
        <w:t>,</w:t>
      </w:r>
      <w:r w:rsidRPr="004B4948">
        <w:rPr>
          <w:lang w:val="en-GB"/>
        </w:rPr>
        <w:t xml:space="preserve"> J</w:t>
      </w:r>
      <w:r>
        <w:rPr>
          <w:lang w:val="en-GB"/>
        </w:rPr>
        <w:t>. W.;</w:t>
      </w:r>
      <w:r w:rsidRPr="004B4948">
        <w:rPr>
          <w:lang w:val="en-GB"/>
        </w:rPr>
        <w:t> TANG</w:t>
      </w:r>
      <w:r>
        <w:rPr>
          <w:lang w:val="en-GB"/>
        </w:rPr>
        <w:t>,</w:t>
      </w:r>
      <w:r w:rsidRPr="004B4948">
        <w:rPr>
          <w:lang w:val="en-GB"/>
        </w:rPr>
        <w:t xml:space="preserve"> J. Surviving cervical cancer: Does health-related quality of life </w:t>
      </w:r>
      <w:proofErr w:type="spellStart"/>
      <w:r w:rsidRPr="004B4948">
        <w:rPr>
          <w:lang w:val="en-GB"/>
        </w:rPr>
        <w:t>infuence</w:t>
      </w:r>
      <w:proofErr w:type="spellEnd"/>
      <w:r w:rsidRPr="004B4948">
        <w:rPr>
          <w:lang w:val="en-GB"/>
        </w:rPr>
        <w:t xml:space="preserve"> survival? </w:t>
      </w:r>
      <w:proofErr w:type="spellStart"/>
      <w:r w:rsidRPr="004B4948">
        <w:rPr>
          <w:b/>
          <w:lang w:val="en-GB"/>
        </w:rPr>
        <w:t>Gynecol</w:t>
      </w:r>
      <w:r>
        <w:rPr>
          <w:b/>
          <w:lang w:val="en-GB"/>
        </w:rPr>
        <w:t>ogic</w:t>
      </w:r>
      <w:proofErr w:type="spellEnd"/>
      <w:r w:rsidRPr="004B4948">
        <w:rPr>
          <w:b/>
          <w:lang w:val="en-GB"/>
        </w:rPr>
        <w:t xml:space="preserve"> Oncol</w:t>
      </w:r>
      <w:r>
        <w:rPr>
          <w:b/>
          <w:lang w:val="en-GB"/>
        </w:rPr>
        <w:t>ogy</w:t>
      </w:r>
      <w:r>
        <w:rPr>
          <w:lang w:val="en-GB"/>
        </w:rPr>
        <w:t>,</w:t>
      </w:r>
      <w:r w:rsidRPr="004B4948">
        <w:rPr>
          <w:b/>
          <w:lang w:val="en-GB"/>
        </w:rPr>
        <w:t xml:space="preserve"> </w:t>
      </w:r>
      <w:r w:rsidRPr="004B4948">
        <w:rPr>
          <w:lang w:val="en-GB"/>
        </w:rPr>
        <w:t>v.118, n.1, p.35-42,</w:t>
      </w:r>
      <w:r>
        <w:rPr>
          <w:lang w:val="en-GB"/>
        </w:rPr>
        <w:t xml:space="preserve"> </w:t>
      </w:r>
      <w:proofErr w:type="spellStart"/>
      <w:proofErr w:type="gramStart"/>
      <w:r>
        <w:rPr>
          <w:lang w:val="en-GB"/>
        </w:rPr>
        <w:t>jul</w:t>
      </w:r>
      <w:proofErr w:type="gramEnd"/>
      <w:r>
        <w:rPr>
          <w:lang w:val="en-GB"/>
        </w:rPr>
        <w:t>.</w:t>
      </w:r>
      <w:proofErr w:type="spellEnd"/>
      <w:r w:rsidRPr="004B4948">
        <w:rPr>
          <w:lang w:val="en-GB"/>
        </w:rPr>
        <w:t xml:space="preserve"> 2010.</w:t>
      </w:r>
    </w:p>
    <w:p w:rsidR="00960B40" w:rsidRPr="004B4948" w:rsidRDefault="00960B40" w:rsidP="008C7793">
      <w:pPr>
        <w:spacing w:line="480" w:lineRule="auto"/>
        <w:ind w:right="23"/>
        <w:rPr>
          <w:lang w:val="en-GB"/>
        </w:rPr>
      </w:pPr>
      <w:r w:rsidRPr="004B4948">
        <w:rPr>
          <w:lang w:val="en-GB"/>
        </w:rPr>
        <w:t>BAE</w:t>
      </w:r>
      <w:r>
        <w:rPr>
          <w:lang w:val="en-GB"/>
        </w:rPr>
        <w:t>, H.;</w:t>
      </w:r>
      <w:r w:rsidRPr="004B4948">
        <w:rPr>
          <w:lang w:val="en-GB"/>
        </w:rPr>
        <w:t xml:space="preserve"> PARK</w:t>
      </w:r>
      <w:r>
        <w:rPr>
          <w:lang w:val="en-GB"/>
        </w:rPr>
        <w:t>,</w:t>
      </w:r>
      <w:r w:rsidRPr="004B4948">
        <w:rPr>
          <w:lang w:val="en-GB"/>
        </w:rPr>
        <w:t xml:space="preserve"> H. Sexual function, depression, and quality of life in patients with cervical cancer.</w:t>
      </w:r>
      <w:r w:rsidRPr="0030275D">
        <w:rPr>
          <w:lang w:val="en-GB"/>
        </w:rPr>
        <w:t xml:space="preserve"> </w:t>
      </w:r>
      <w:r>
        <w:rPr>
          <w:b/>
          <w:lang w:val="en-GB"/>
        </w:rPr>
        <w:t>Supportive care in cancer</w:t>
      </w:r>
      <w:r w:rsidRPr="0030275D">
        <w:rPr>
          <w:b/>
          <w:lang w:val="en-GB"/>
        </w:rPr>
        <w:t>: official journal of the Multinational Association of Supportive Care in Cancer</w:t>
      </w:r>
      <w:r>
        <w:rPr>
          <w:lang w:val="en-GB"/>
        </w:rPr>
        <w:t>,</w:t>
      </w:r>
      <w:r w:rsidRPr="004B4948">
        <w:rPr>
          <w:lang w:val="en-GB"/>
        </w:rPr>
        <w:t xml:space="preserve"> v.24, n.3, p.1277-1283,</w:t>
      </w:r>
      <w:r>
        <w:rPr>
          <w:lang w:val="en-GB"/>
        </w:rPr>
        <w:t xml:space="preserve"> mar.</w:t>
      </w:r>
      <w:r w:rsidRPr="004B4948">
        <w:rPr>
          <w:lang w:val="en-GB"/>
        </w:rPr>
        <w:t xml:space="preserve"> 2016. </w:t>
      </w:r>
    </w:p>
    <w:p w:rsidR="00960B40" w:rsidRPr="004B4948" w:rsidRDefault="00960B40" w:rsidP="008C7793">
      <w:pPr>
        <w:spacing w:line="480" w:lineRule="auto"/>
        <w:ind w:right="23"/>
        <w:rPr>
          <w:lang w:val="en-US"/>
        </w:rPr>
      </w:pPr>
      <w:r>
        <w:rPr>
          <w:lang w:val="en-US"/>
        </w:rPr>
        <w:t xml:space="preserve">BARKER, C. L. </w:t>
      </w:r>
      <w:r w:rsidRPr="004B4948">
        <w:rPr>
          <w:lang w:val="en-US"/>
        </w:rPr>
        <w:t xml:space="preserve">et al. The impact of radiotherapy late effects on quality of life in </w:t>
      </w:r>
      <w:proofErr w:type="spellStart"/>
      <w:r w:rsidRPr="004B4948">
        <w:rPr>
          <w:lang w:val="en-US"/>
        </w:rPr>
        <w:t>gynaecological</w:t>
      </w:r>
      <w:proofErr w:type="spellEnd"/>
      <w:r w:rsidRPr="004B4948">
        <w:rPr>
          <w:lang w:val="en-US"/>
        </w:rPr>
        <w:t xml:space="preserve"> cancer patients. </w:t>
      </w:r>
      <w:r w:rsidRPr="0030275D">
        <w:rPr>
          <w:b/>
          <w:lang w:val="en-GB"/>
        </w:rPr>
        <w:t>British Journal of Cancer</w:t>
      </w:r>
      <w:r>
        <w:rPr>
          <w:lang w:val="en-US"/>
        </w:rPr>
        <w:t>,</w:t>
      </w:r>
      <w:r w:rsidRPr="004B4948">
        <w:rPr>
          <w:lang w:val="en-US"/>
        </w:rPr>
        <w:t xml:space="preserve"> v.100, n.10, p.1558-1565,</w:t>
      </w:r>
      <w:r>
        <w:rPr>
          <w:lang w:val="en-US"/>
        </w:rPr>
        <w:t xml:space="preserve"> may.</w:t>
      </w:r>
      <w:r w:rsidRPr="004B4948">
        <w:rPr>
          <w:lang w:val="en-US"/>
        </w:rPr>
        <w:t xml:space="preserve"> 2009. </w:t>
      </w:r>
    </w:p>
    <w:p w:rsidR="00960B40" w:rsidRPr="004B4948" w:rsidRDefault="00960B40" w:rsidP="008C7793">
      <w:pPr>
        <w:spacing w:line="480" w:lineRule="auto"/>
        <w:ind w:right="23"/>
      </w:pPr>
      <w:r w:rsidRPr="004B4948">
        <w:rPr>
          <w:lang w:val="en-US"/>
        </w:rPr>
        <w:lastRenderedPageBreak/>
        <w:t>BASER</w:t>
      </w:r>
      <w:r>
        <w:rPr>
          <w:lang w:val="en-US"/>
        </w:rPr>
        <w:t>,</w:t>
      </w:r>
      <w:r w:rsidRPr="004B4948">
        <w:rPr>
          <w:lang w:val="en-US"/>
        </w:rPr>
        <w:t xml:space="preserve"> R</w:t>
      </w:r>
      <w:r>
        <w:rPr>
          <w:lang w:val="en-US"/>
        </w:rPr>
        <w:t xml:space="preserve">. </w:t>
      </w:r>
      <w:r w:rsidRPr="004B4948">
        <w:rPr>
          <w:lang w:val="en-US"/>
        </w:rPr>
        <w:t>E</w:t>
      </w:r>
      <w:r>
        <w:rPr>
          <w:lang w:val="en-US"/>
        </w:rPr>
        <w:t>.; CARTER, J.;</w:t>
      </w:r>
      <w:r w:rsidRPr="004B4948">
        <w:rPr>
          <w:lang w:val="en-US"/>
        </w:rPr>
        <w:t xml:space="preserve"> LI</w:t>
      </w:r>
      <w:r>
        <w:rPr>
          <w:lang w:val="en-US"/>
        </w:rPr>
        <w:t xml:space="preserve">, Y. </w:t>
      </w:r>
      <w:r w:rsidRPr="004B4948">
        <w:rPr>
          <w:lang w:val="en-US"/>
        </w:rPr>
        <w:t xml:space="preserve">Psychometric validation of the Female Sexual Function Index (FSFI) in cancer survivors. </w:t>
      </w:r>
      <w:proofErr w:type="spellStart"/>
      <w:r w:rsidRPr="00960B40">
        <w:rPr>
          <w:b/>
          <w:bCs/>
        </w:rPr>
        <w:t>Ca</w:t>
      </w:r>
      <w:r w:rsidRPr="004B4948">
        <w:rPr>
          <w:b/>
          <w:bCs/>
        </w:rPr>
        <w:t>ncer</w:t>
      </w:r>
      <w:proofErr w:type="spellEnd"/>
      <w:r w:rsidRPr="004B4948">
        <w:rPr>
          <w:bCs/>
        </w:rPr>
        <w:t>. v.118, n.18, p.4606-4618,</w:t>
      </w:r>
      <w:r>
        <w:rPr>
          <w:bCs/>
        </w:rPr>
        <w:t xml:space="preserve"> sep.</w:t>
      </w:r>
      <w:r w:rsidRPr="004B4948">
        <w:rPr>
          <w:bCs/>
        </w:rPr>
        <w:t xml:space="preserve"> </w:t>
      </w:r>
      <w:r w:rsidRPr="004B4948">
        <w:t>2012.</w:t>
      </w:r>
    </w:p>
    <w:p w:rsidR="00960B40" w:rsidRPr="004B4948" w:rsidRDefault="00960B40" w:rsidP="008C7793">
      <w:pPr>
        <w:spacing w:line="480" w:lineRule="auto"/>
        <w:ind w:right="23"/>
      </w:pPr>
      <w:r>
        <w:t xml:space="preserve">BERNARDO, B. C. </w:t>
      </w:r>
      <w:r w:rsidRPr="004B4948">
        <w:t xml:space="preserve">et al. Disfunção sexual em pacientes com câncer do colo uterino avançado submetidas à radioterapia exclusiva. </w:t>
      </w:r>
      <w:r w:rsidRPr="004B4948">
        <w:rPr>
          <w:b/>
        </w:rPr>
        <w:t>Rev</w:t>
      </w:r>
      <w:r>
        <w:rPr>
          <w:b/>
        </w:rPr>
        <w:t xml:space="preserve">ista </w:t>
      </w:r>
      <w:r w:rsidRPr="004B4948">
        <w:rPr>
          <w:b/>
        </w:rPr>
        <w:t>Bras</w:t>
      </w:r>
      <w:r>
        <w:rPr>
          <w:b/>
        </w:rPr>
        <w:t xml:space="preserve">ileira de </w:t>
      </w:r>
      <w:r w:rsidRPr="004B4948">
        <w:rPr>
          <w:b/>
        </w:rPr>
        <w:t>Ginecologia</w:t>
      </w:r>
      <w:r>
        <w:rPr>
          <w:b/>
        </w:rPr>
        <w:t xml:space="preserve"> e Obstetrícia</w:t>
      </w:r>
      <w:r>
        <w:t>,</w:t>
      </w:r>
      <w:r w:rsidRPr="004B4948">
        <w:t xml:space="preserve"> v.29, n.2, p.85-90, 2007.</w:t>
      </w:r>
    </w:p>
    <w:p w:rsidR="00960B40" w:rsidRPr="004B4948" w:rsidRDefault="00960B40" w:rsidP="008C7793">
      <w:pPr>
        <w:tabs>
          <w:tab w:val="left" w:pos="720"/>
        </w:tabs>
        <w:autoSpaceDE w:val="0"/>
        <w:autoSpaceDN w:val="0"/>
        <w:adjustRightInd w:val="0"/>
        <w:spacing w:line="480" w:lineRule="auto"/>
        <w:ind w:right="22"/>
      </w:pPr>
      <w:r w:rsidRPr="004B4948">
        <w:t>BIFFI</w:t>
      </w:r>
      <w:r>
        <w:t>,</w:t>
      </w:r>
      <w:r w:rsidRPr="004B4948">
        <w:t xml:space="preserve"> R</w:t>
      </w:r>
      <w:r>
        <w:t>. G.;</w:t>
      </w:r>
      <w:r w:rsidRPr="004B4948">
        <w:t xml:space="preserve"> MAMEDE</w:t>
      </w:r>
      <w:r>
        <w:t>,</w:t>
      </w:r>
      <w:r w:rsidRPr="004B4948">
        <w:t xml:space="preserve"> M</w:t>
      </w:r>
      <w:r>
        <w:t xml:space="preserve">. </w:t>
      </w:r>
      <w:r w:rsidRPr="004B4948">
        <w:t>V. Suporte s</w:t>
      </w:r>
      <w:r w:rsidR="008C7793">
        <w:t xml:space="preserve">ocial na reabilitação da mulher </w:t>
      </w:r>
      <w:proofErr w:type="spellStart"/>
      <w:r w:rsidRPr="004B4948">
        <w:t>mastectomizada</w:t>
      </w:r>
      <w:proofErr w:type="spellEnd"/>
      <w:r w:rsidRPr="004B4948">
        <w:t xml:space="preserve">: o papel do parceiro sexual. </w:t>
      </w:r>
      <w:r w:rsidRPr="004B4948">
        <w:rPr>
          <w:b/>
        </w:rPr>
        <w:t>Rev</w:t>
      </w:r>
      <w:r>
        <w:rPr>
          <w:b/>
        </w:rPr>
        <w:t>ista da</w:t>
      </w:r>
      <w:r w:rsidRPr="004B4948">
        <w:rPr>
          <w:b/>
        </w:rPr>
        <w:t xml:space="preserve"> Esc</w:t>
      </w:r>
      <w:r>
        <w:rPr>
          <w:b/>
        </w:rPr>
        <w:t xml:space="preserve">ola de </w:t>
      </w:r>
      <w:r w:rsidRPr="004B4948">
        <w:rPr>
          <w:b/>
        </w:rPr>
        <w:t>Enfermagem da USP</w:t>
      </w:r>
      <w:r w:rsidRPr="004B4948">
        <w:t>. v.38, n.3, p.262-269, 2004.</w:t>
      </w:r>
    </w:p>
    <w:p w:rsidR="00960B40" w:rsidRPr="004B4948" w:rsidRDefault="00960B40" w:rsidP="008C7793">
      <w:pPr>
        <w:tabs>
          <w:tab w:val="left" w:pos="720"/>
        </w:tabs>
        <w:autoSpaceDE w:val="0"/>
        <w:autoSpaceDN w:val="0"/>
        <w:adjustRightInd w:val="0"/>
        <w:spacing w:line="480" w:lineRule="auto"/>
        <w:ind w:right="22"/>
      </w:pPr>
      <w:r w:rsidRPr="004B4948">
        <w:t xml:space="preserve">BRASIL. Ministério de Saúde. Instituto Nacional do Câncer (INCA). </w:t>
      </w:r>
      <w:r w:rsidRPr="004B4948">
        <w:rPr>
          <w:b/>
        </w:rPr>
        <w:t>Falando sobre o câncer do colo do útero.</w:t>
      </w:r>
      <w:r w:rsidRPr="004B4948">
        <w:t xml:space="preserve"> Rio de Janeiro: Ministério da Saúde; 2002.</w:t>
      </w:r>
    </w:p>
    <w:p w:rsidR="00960B40" w:rsidRPr="00AF4875" w:rsidRDefault="00960B40" w:rsidP="008C7793">
      <w:pPr>
        <w:tabs>
          <w:tab w:val="left" w:pos="720"/>
        </w:tabs>
        <w:autoSpaceDE w:val="0"/>
        <w:autoSpaceDN w:val="0"/>
        <w:adjustRightInd w:val="0"/>
        <w:spacing w:line="480" w:lineRule="auto"/>
        <w:ind w:right="22"/>
        <w:rPr>
          <w:lang w:val="en-GB"/>
        </w:rPr>
      </w:pPr>
      <w:r w:rsidRPr="004B4948">
        <w:rPr>
          <w:lang w:val="en-GB"/>
        </w:rPr>
        <w:t>CLEARY</w:t>
      </w:r>
      <w:r>
        <w:rPr>
          <w:lang w:val="en-GB"/>
        </w:rPr>
        <w:t>,</w:t>
      </w:r>
      <w:r w:rsidRPr="004B4948">
        <w:rPr>
          <w:lang w:val="en-GB"/>
        </w:rPr>
        <w:t xml:space="preserve"> V</w:t>
      </w:r>
      <w:r>
        <w:rPr>
          <w:lang w:val="en-GB"/>
        </w:rPr>
        <w:t>.;</w:t>
      </w:r>
      <w:r w:rsidRPr="004B4948">
        <w:rPr>
          <w:lang w:val="en-GB"/>
        </w:rPr>
        <w:t xml:space="preserve"> HEGARTY</w:t>
      </w:r>
      <w:r>
        <w:rPr>
          <w:lang w:val="en-GB"/>
        </w:rPr>
        <w:t>,</w:t>
      </w:r>
      <w:r w:rsidRPr="004B4948">
        <w:rPr>
          <w:lang w:val="en-GB"/>
        </w:rPr>
        <w:t xml:space="preserve"> J. Understanding sexuality in women with gynaecological cancer.</w:t>
      </w:r>
      <w:r>
        <w:rPr>
          <w:b/>
          <w:lang w:val="en-GB"/>
        </w:rPr>
        <w:t xml:space="preserve"> </w:t>
      </w:r>
      <w:r w:rsidRPr="00AF4875">
        <w:rPr>
          <w:b/>
          <w:lang w:val="en-GB"/>
        </w:rPr>
        <w:t>European journal of oncology nursing: the official journal of European Oncology Nursing Society</w:t>
      </w:r>
      <w:r>
        <w:rPr>
          <w:lang w:val="en-GB"/>
        </w:rPr>
        <w:t>,</w:t>
      </w:r>
      <w:r w:rsidRPr="00AF4875">
        <w:rPr>
          <w:lang w:val="en-GB"/>
        </w:rPr>
        <w:t xml:space="preserve"> v.15, n.1, p.38-45,</w:t>
      </w:r>
      <w:r>
        <w:rPr>
          <w:lang w:val="en-GB"/>
        </w:rPr>
        <w:t xml:space="preserve"> </w:t>
      </w:r>
      <w:proofErr w:type="spellStart"/>
      <w:proofErr w:type="gramStart"/>
      <w:r>
        <w:rPr>
          <w:lang w:val="en-GB"/>
        </w:rPr>
        <w:t>feb</w:t>
      </w:r>
      <w:proofErr w:type="gramEnd"/>
      <w:r>
        <w:rPr>
          <w:lang w:val="en-GB"/>
        </w:rPr>
        <w:t>.</w:t>
      </w:r>
      <w:proofErr w:type="spellEnd"/>
      <w:r w:rsidRPr="00AF4875">
        <w:rPr>
          <w:lang w:val="en-GB"/>
        </w:rPr>
        <w:t xml:space="preserve"> 2011.</w:t>
      </w:r>
    </w:p>
    <w:p w:rsidR="00960B40" w:rsidRPr="00AF4875" w:rsidRDefault="00960B40" w:rsidP="008C7793">
      <w:pPr>
        <w:tabs>
          <w:tab w:val="left" w:pos="720"/>
        </w:tabs>
        <w:autoSpaceDE w:val="0"/>
        <w:autoSpaceDN w:val="0"/>
        <w:adjustRightInd w:val="0"/>
        <w:spacing w:line="480" w:lineRule="auto"/>
        <w:ind w:right="22"/>
      </w:pPr>
      <w:r w:rsidRPr="00AF4875">
        <w:rPr>
          <w:lang w:val="en-GB"/>
        </w:rPr>
        <w:t>DONOVAN, K. A.</w:t>
      </w:r>
      <w:r>
        <w:rPr>
          <w:lang w:val="en-GB"/>
        </w:rPr>
        <w:t xml:space="preserve"> </w:t>
      </w:r>
      <w:r w:rsidRPr="00AF4875">
        <w:rPr>
          <w:lang w:val="en-GB"/>
        </w:rPr>
        <w:t xml:space="preserve">et al. </w:t>
      </w:r>
      <w:r w:rsidRPr="004B4948">
        <w:rPr>
          <w:lang w:val="en-US"/>
        </w:rPr>
        <w:t xml:space="preserve">Sexual health in women treated for cervical cancer: Characteristics and correlates. </w:t>
      </w:r>
      <w:proofErr w:type="spellStart"/>
      <w:r w:rsidRPr="00AF4875">
        <w:rPr>
          <w:b/>
        </w:rPr>
        <w:t>Gynecologic</w:t>
      </w:r>
      <w:proofErr w:type="spellEnd"/>
      <w:r w:rsidRPr="00AF4875">
        <w:rPr>
          <w:b/>
        </w:rPr>
        <w:t xml:space="preserve"> </w:t>
      </w:r>
      <w:proofErr w:type="spellStart"/>
      <w:r w:rsidRPr="00AF4875">
        <w:rPr>
          <w:b/>
        </w:rPr>
        <w:t>Oncology</w:t>
      </w:r>
      <w:proofErr w:type="spellEnd"/>
      <w:r w:rsidRPr="00AF4875">
        <w:t xml:space="preserve">. v.104, n.2, p.428-434, </w:t>
      </w:r>
      <w:proofErr w:type="spellStart"/>
      <w:r w:rsidRPr="00AF4875">
        <w:t>feb</w:t>
      </w:r>
      <w:proofErr w:type="spellEnd"/>
      <w:r w:rsidRPr="00AF4875">
        <w:t>. 2007.</w:t>
      </w:r>
    </w:p>
    <w:p w:rsidR="00960B40" w:rsidRDefault="00960B40" w:rsidP="008C7793">
      <w:pPr>
        <w:tabs>
          <w:tab w:val="left" w:pos="720"/>
        </w:tabs>
        <w:autoSpaceDE w:val="0"/>
        <w:autoSpaceDN w:val="0"/>
        <w:adjustRightInd w:val="0"/>
        <w:spacing w:line="480" w:lineRule="auto"/>
        <w:ind w:right="22"/>
      </w:pPr>
      <w:r w:rsidRPr="00AF4875">
        <w:t xml:space="preserve">FLECK, M. P. A. O instrumento de avaliação de qualidade de vida da Organização Mundial da Saúde (WHOQOL-100): características e perspectivas. </w:t>
      </w:r>
      <w:r w:rsidRPr="00AF4875">
        <w:rPr>
          <w:b/>
        </w:rPr>
        <w:t>Ciência &amp; Saúde Coletiva</w:t>
      </w:r>
      <w:r w:rsidRPr="00AF4875">
        <w:t>. v.5, n.1, p.33-38, 2000.</w:t>
      </w:r>
    </w:p>
    <w:p w:rsidR="00960B40" w:rsidRDefault="00960B40" w:rsidP="008C7793">
      <w:pPr>
        <w:tabs>
          <w:tab w:val="left" w:pos="720"/>
        </w:tabs>
        <w:autoSpaceDE w:val="0"/>
        <w:autoSpaceDN w:val="0"/>
        <w:adjustRightInd w:val="0"/>
        <w:spacing w:line="480" w:lineRule="auto"/>
        <w:ind w:right="22"/>
      </w:pPr>
      <w:r w:rsidRPr="00960B40">
        <w:t xml:space="preserve">FLECK, M. P. A. et al. </w:t>
      </w:r>
      <w:r w:rsidRPr="004B4948">
        <w:t xml:space="preserve">Desenvolvimento da versão em português do instrumento de avaliação de qualidade de vida da OMS (WHOQOL-100). </w:t>
      </w:r>
      <w:r w:rsidRPr="004B4948">
        <w:rPr>
          <w:b/>
        </w:rPr>
        <w:t>Rev</w:t>
      </w:r>
      <w:r>
        <w:rPr>
          <w:b/>
        </w:rPr>
        <w:t>ista</w:t>
      </w:r>
      <w:r w:rsidRPr="004B4948">
        <w:rPr>
          <w:b/>
        </w:rPr>
        <w:t xml:space="preserve"> Bras</w:t>
      </w:r>
      <w:r>
        <w:rPr>
          <w:b/>
        </w:rPr>
        <w:t>ileira de Psiquiatria</w:t>
      </w:r>
      <w:r>
        <w:t>,</w:t>
      </w:r>
      <w:r w:rsidRPr="004B4948">
        <w:t xml:space="preserve"> v.21, n.1, p.19-28, 1999.</w:t>
      </w:r>
    </w:p>
    <w:p w:rsidR="00960B40" w:rsidRPr="00D9550E" w:rsidRDefault="00960B40" w:rsidP="008C7793">
      <w:pPr>
        <w:tabs>
          <w:tab w:val="left" w:pos="720"/>
        </w:tabs>
        <w:autoSpaceDE w:val="0"/>
        <w:autoSpaceDN w:val="0"/>
        <w:adjustRightInd w:val="0"/>
        <w:spacing w:line="480" w:lineRule="auto"/>
        <w:ind w:right="22"/>
      </w:pPr>
      <w:r w:rsidRPr="004B4948">
        <w:lastRenderedPageBreak/>
        <w:t>FERNANDES</w:t>
      </w:r>
      <w:r>
        <w:t>,</w:t>
      </w:r>
      <w:r w:rsidRPr="004B4948">
        <w:t xml:space="preserve"> W</w:t>
      </w:r>
      <w:r>
        <w:t>. C.;</w:t>
      </w:r>
      <w:r w:rsidRPr="004B4948">
        <w:t xml:space="preserve"> KIMURA</w:t>
      </w:r>
      <w:r>
        <w:t>,</w:t>
      </w:r>
      <w:r w:rsidRPr="004B4948">
        <w:t xml:space="preserve"> M. Qualidade de vida relacionada à saúde de mulheres com câncer de colo uterino. </w:t>
      </w:r>
      <w:r w:rsidRPr="00D9550E">
        <w:rPr>
          <w:rStyle w:val="Forte"/>
        </w:rPr>
        <w:t>Revista latino-americana de enfermagem</w:t>
      </w:r>
      <w:r w:rsidRPr="00D9550E">
        <w:rPr>
          <w:bCs/>
        </w:rPr>
        <w:t xml:space="preserve">, v.18, n.3, p.360-367, </w:t>
      </w:r>
      <w:proofErr w:type="spellStart"/>
      <w:proofErr w:type="gramStart"/>
      <w:r w:rsidRPr="00D9550E">
        <w:rPr>
          <w:bCs/>
        </w:rPr>
        <w:t>may</w:t>
      </w:r>
      <w:proofErr w:type="spellEnd"/>
      <w:r w:rsidRPr="00D9550E">
        <w:rPr>
          <w:bCs/>
        </w:rPr>
        <w:t>./</w:t>
      </w:r>
      <w:proofErr w:type="gramEnd"/>
      <w:r w:rsidRPr="00D9550E">
        <w:rPr>
          <w:bCs/>
        </w:rPr>
        <w:t xml:space="preserve">jun. </w:t>
      </w:r>
      <w:r w:rsidRPr="00D9550E">
        <w:t>2010.</w:t>
      </w:r>
    </w:p>
    <w:p w:rsidR="00960B40" w:rsidRPr="004B4948" w:rsidRDefault="00960B40" w:rsidP="008C7793">
      <w:pPr>
        <w:tabs>
          <w:tab w:val="left" w:pos="720"/>
        </w:tabs>
        <w:autoSpaceDE w:val="0"/>
        <w:autoSpaceDN w:val="0"/>
        <w:adjustRightInd w:val="0"/>
        <w:spacing w:line="480" w:lineRule="auto"/>
        <w:ind w:right="22"/>
        <w:rPr>
          <w:bCs/>
          <w:lang w:val="en-GB"/>
        </w:rPr>
      </w:pPr>
      <w:r>
        <w:rPr>
          <w:lang w:val="en-US"/>
        </w:rPr>
        <w:t xml:space="preserve">FRUMOVITZ, M. </w:t>
      </w:r>
      <w:r w:rsidRPr="004B4948">
        <w:rPr>
          <w:lang w:val="en-US"/>
        </w:rPr>
        <w:t>et al. Quality of Life and Sexual Functionin</w:t>
      </w:r>
      <w:r>
        <w:rPr>
          <w:lang w:val="en-US"/>
        </w:rPr>
        <w:t xml:space="preserve">g in Cervical Cancer Survivors. </w:t>
      </w:r>
      <w:r>
        <w:rPr>
          <w:b/>
          <w:lang w:val="en-GB"/>
        </w:rPr>
        <w:t>Journal of clinical oncology</w:t>
      </w:r>
      <w:r w:rsidRPr="00D9550E">
        <w:rPr>
          <w:b/>
          <w:lang w:val="en-GB"/>
        </w:rPr>
        <w:t>: official journal of the American Society of Clinical Oncology</w:t>
      </w:r>
      <w:r>
        <w:rPr>
          <w:lang w:val="en-GB"/>
        </w:rPr>
        <w:t>,</w:t>
      </w:r>
      <w:r>
        <w:rPr>
          <w:b/>
          <w:lang w:val="en-GB"/>
        </w:rPr>
        <w:t xml:space="preserve"> </w:t>
      </w:r>
      <w:r>
        <w:rPr>
          <w:lang w:val="en-GB"/>
        </w:rPr>
        <w:t>v</w:t>
      </w:r>
      <w:r w:rsidRPr="004B4948">
        <w:rPr>
          <w:lang w:val="en-GB"/>
        </w:rPr>
        <w:t>.23, n.30, p.7428-7436,</w:t>
      </w:r>
      <w:r>
        <w:rPr>
          <w:lang w:val="en-GB"/>
        </w:rPr>
        <w:t xml:space="preserve"> </w:t>
      </w:r>
      <w:proofErr w:type="spellStart"/>
      <w:r>
        <w:rPr>
          <w:lang w:val="en-GB"/>
        </w:rPr>
        <w:t>oct.</w:t>
      </w:r>
      <w:proofErr w:type="spellEnd"/>
      <w:r w:rsidRPr="004B4948">
        <w:rPr>
          <w:lang w:val="en-GB"/>
        </w:rPr>
        <w:t xml:space="preserve"> </w:t>
      </w:r>
      <w:r w:rsidRPr="004B4948">
        <w:rPr>
          <w:bCs/>
          <w:lang w:val="en-GB"/>
        </w:rPr>
        <w:t>2005.</w:t>
      </w:r>
    </w:p>
    <w:p w:rsidR="00960B40" w:rsidRDefault="00960B40" w:rsidP="008C7793">
      <w:pPr>
        <w:spacing w:line="480" w:lineRule="auto"/>
        <w:rPr>
          <w:shd w:val="clear" w:color="auto" w:fill="FFFFFF"/>
          <w:lang w:val="en-GB"/>
        </w:rPr>
      </w:pPr>
      <w:r>
        <w:rPr>
          <w:shd w:val="clear" w:color="auto" w:fill="FFFFFF"/>
          <w:lang w:val="en-GB"/>
        </w:rPr>
        <w:t>KHALIL, J.</w:t>
      </w:r>
      <w:r w:rsidRPr="004B4948">
        <w:rPr>
          <w:rStyle w:val="apple-converted-space"/>
          <w:shd w:val="clear" w:color="auto" w:fill="FFFFFF"/>
          <w:lang w:val="en-GB"/>
        </w:rPr>
        <w:t xml:space="preserve"> et al.</w:t>
      </w:r>
      <w:r w:rsidRPr="004B4948">
        <w:rPr>
          <w:shd w:val="clear" w:color="auto" w:fill="FFFFFF"/>
          <w:lang w:val="en-GB"/>
        </w:rPr>
        <w:t xml:space="preserve"> </w:t>
      </w:r>
      <w:r w:rsidRPr="004B4948">
        <w:rPr>
          <w:bCs/>
          <w:shd w:val="clear" w:color="auto" w:fill="FFFFFF"/>
          <w:lang w:val="en-GB"/>
        </w:rPr>
        <w:t>Impact of cerv</w:t>
      </w:r>
      <w:r>
        <w:rPr>
          <w:bCs/>
          <w:shd w:val="clear" w:color="auto" w:fill="FFFFFF"/>
          <w:lang w:val="en-GB"/>
        </w:rPr>
        <w:t xml:space="preserve">ical cancer on quality of life: </w:t>
      </w:r>
      <w:r w:rsidRPr="004B4948">
        <w:rPr>
          <w:bCs/>
          <w:shd w:val="clear" w:color="auto" w:fill="FFFFFF"/>
          <w:lang w:val="en-GB"/>
        </w:rPr>
        <w:t xml:space="preserve">beyond the short term (Results from a single </w:t>
      </w:r>
      <w:r>
        <w:rPr>
          <w:bCs/>
          <w:shd w:val="clear" w:color="auto" w:fill="FFFFFF"/>
          <w:lang w:val="en-GB"/>
        </w:rPr>
        <w:t xml:space="preserve">institution). </w:t>
      </w:r>
      <w:proofErr w:type="spellStart"/>
      <w:r w:rsidRPr="00D9550E">
        <w:rPr>
          <w:b/>
          <w:lang w:val="en-GB"/>
        </w:rPr>
        <w:t>Gynecologic</w:t>
      </w:r>
      <w:proofErr w:type="spellEnd"/>
      <w:r w:rsidRPr="00D9550E">
        <w:rPr>
          <w:b/>
          <w:lang w:val="en-GB"/>
        </w:rPr>
        <w:t xml:space="preserve"> oncology research and practice</w:t>
      </w:r>
      <w:r>
        <w:rPr>
          <w:shd w:val="clear" w:color="auto" w:fill="FFFFFF"/>
          <w:lang w:val="en-GB"/>
        </w:rPr>
        <w:t>,</w:t>
      </w:r>
      <w:r w:rsidRPr="004B4948">
        <w:rPr>
          <w:shd w:val="clear" w:color="auto" w:fill="FFFFFF"/>
          <w:lang w:val="en-GB"/>
        </w:rPr>
        <w:t xml:space="preserve"> v.2, n.7, p.192-197,</w:t>
      </w:r>
      <w:r>
        <w:rPr>
          <w:shd w:val="clear" w:color="auto" w:fill="FFFFFF"/>
          <w:lang w:val="en-GB"/>
        </w:rPr>
        <w:t xml:space="preserve"> </w:t>
      </w:r>
      <w:proofErr w:type="spellStart"/>
      <w:r>
        <w:rPr>
          <w:shd w:val="clear" w:color="auto" w:fill="FFFFFF"/>
          <w:lang w:val="en-GB"/>
        </w:rPr>
        <w:t>sep.</w:t>
      </w:r>
      <w:proofErr w:type="spellEnd"/>
      <w:r w:rsidRPr="004B4948">
        <w:rPr>
          <w:rStyle w:val="apple-converted-space"/>
          <w:shd w:val="clear" w:color="auto" w:fill="FFFFFF"/>
          <w:lang w:val="en-GB"/>
        </w:rPr>
        <w:t> </w:t>
      </w:r>
      <w:r w:rsidRPr="004B4948">
        <w:rPr>
          <w:shd w:val="clear" w:color="auto" w:fill="FFFFFF"/>
          <w:lang w:val="en-GB"/>
        </w:rPr>
        <w:t>2015.</w:t>
      </w:r>
    </w:p>
    <w:p w:rsidR="00960B40" w:rsidRPr="001A4D44" w:rsidRDefault="001A4D44" w:rsidP="008C7793">
      <w:pPr>
        <w:spacing w:line="480" w:lineRule="auto"/>
        <w:rPr>
          <w:rStyle w:val="apple-converted-space"/>
          <w:shd w:val="clear" w:color="auto" w:fill="FFFFFF"/>
          <w:lang w:val="en-GB"/>
        </w:rPr>
      </w:pPr>
      <w:r>
        <w:rPr>
          <w:rStyle w:val="apple-converted-space"/>
          <w:shd w:val="clear" w:color="auto" w:fill="FFFFFF"/>
          <w:lang w:val="en-GB"/>
        </w:rPr>
        <w:t xml:space="preserve">LEE, Y. et al. Comparison of Quality of Life and Sexuality between Cervical Cancer Survivors and Healthy Women. </w:t>
      </w:r>
      <w:r>
        <w:rPr>
          <w:rStyle w:val="apple-converted-space"/>
          <w:b/>
          <w:shd w:val="clear" w:color="auto" w:fill="FFFFFF"/>
          <w:lang w:val="en-GB"/>
        </w:rPr>
        <w:t>Cancer research and treatment</w:t>
      </w:r>
      <w:r>
        <w:rPr>
          <w:rStyle w:val="apple-converted-space"/>
          <w:shd w:val="clear" w:color="auto" w:fill="FFFFFF"/>
          <w:lang w:val="en-GB"/>
        </w:rPr>
        <w:t xml:space="preserve">: </w:t>
      </w:r>
      <w:r>
        <w:rPr>
          <w:rStyle w:val="apple-converted-space"/>
          <w:b/>
          <w:shd w:val="clear" w:color="auto" w:fill="FFFFFF"/>
          <w:lang w:val="en-GB"/>
        </w:rPr>
        <w:t>official journal of Korean Cancer Association</w:t>
      </w:r>
      <w:r>
        <w:rPr>
          <w:rStyle w:val="apple-converted-space"/>
          <w:shd w:val="clear" w:color="auto" w:fill="FFFFFF"/>
          <w:lang w:val="en-GB"/>
        </w:rPr>
        <w:t xml:space="preserve">, v.48, n.4, p.1321-1329, </w:t>
      </w:r>
      <w:proofErr w:type="spellStart"/>
      <w:r>
        <w:rPr>
          <w:rStyle w:val="apple-converted-space"/>
          <w:shd w:val="clear" w:color="auto" w:fill="FFFFFF"/>
          <w:lang w:val="en-GB"/>
        </w:rPr>
        <w:t>oct.</w:t>
      </w:r>
      <w:proofErr w:type="spellEnd"/>
      <w:r>
        <w:rPr>
          <w:rStyle w:val="apple-converted-space"/>
          <w:shd w:val="clear" w:color="auto" w:fill="FFFFFF"/>
          <w:lang w:val="en-GB"/>
        </w:rPr>
        <w:t xml:space="preserve"> 2016.</w:t>
      </w:r>
    </w:p>
    <w:p w:rsidR="00960B40" w:rsidRPr="001755F6" w:rsidRDefault="00960B40" w:rsidP="008C7793">
      <w:pPr>
        <w:spacing w:line="480" w:lineRule="auto"/>
      </w:pPr>
      <w:r>
        <w:rPr>
          <w:lang w:val="en-GB"/>
        </w:rPr>
        <w:t>PARK, S. Y.</w:t>
      </w:r>
      <w:r w:rsidRPr="004B4948">
        <w:rPr>
          <w:lang w:val="en-GB"/>
        </w:rPr>
        <w:t xml:space="preserve"> et al. Quality of Life and Sexual Problems in Disease-Free Survivors of Cervical Cancer Compared With the General Population. </w:t>
      </w:r>
      <w:proofErr w:type="spellStart"/>
      <w:r w:rsidRPr="001755F6">
        <w:rPr>
          <w:b/>
        </w:rPr>
        <w:t>Cancer</w:t>
      </w:r>
      <w:proofErr w:type="spellEnd"/>
      <w:r w:rsidRPr="001755F6">
        <w:t>. v.110, n.12, p.2716-2725,</w:t>
      </w:r>
      <w:r>
        <w:t xml:space="preserve"> dec.</w:t>
      </w:r>
      <w:r w:rsidRPr="001755F6">
        <w:t xml:space="preserve"> 2007.</w:t>
      </w:r>
    </w:p>
    <w:p w:rsidR="00960B40" w:rsidRPr="00960B40" w:rsidRDefault="00960B40" w:rsidP="008C7793">
      <w:pPr>
        <w:spacing w:line="480" w:lineRule="auto"/>
      </w:pPr>
      <w:r w:rsidRPr="004B4948">
        <w:t>PENGA</w:t>
      </w:r>
      <w:r>
        <w:t>,</w:t>
      </w:r>
      <w:r w:rsidRPr="004B4948">
        <w:t xml:space="preserve"> V</w:t>
      </w:r>
      <w:r>
        <w:t xml:space="preserve">. </w:t>
      </w:r>
      <w:r w:rsidRPr="004B4948">
        <w:t>M</w:t>
      </w:r>
      <w:r>
        <w:t>.;</w:t>
      </w:r>
      <w:r w:rsidRPr="004B4948">
        <w:t xml:space="preserve"> RUMIN</w:t>
      </w:r>
      <w:r>
        <w:t>,</w:t>
      </w:r>
      <w:r w:rsidRPr="004B4948">
        <w:t xml:space="preserve"> C</w:t>
      </w:r>
      <w:r>
        <w:t xml:space="preserve">. </w:t>
      </w:r>
      <w:r w:rsidRPr="004B4948">
        <w:t xml:space="preserve">R. Vivências afetivas e o sofrimento de mulheres histerectomizadas. </w:t>
      </w:r>
      <w:proofErr w:type="spellStart"/>
      <w:r w:rsidRPr="00960B40">
        <w:rPr>
          <w:b/>
        </w:rPr>
        <w:t>Omnia</w:t>
      </w:r>
      <w:proofErr w:type="spellEnd"/>
      <w:r w:rsidRPr="00960B40">
        <w:rPr>
          <w:b/>
        </w:rPr>
        <w:t xml:space="preserve"> Saúde</w:t>
      </w:r>
      <w:r w:rsidRPr="00960B40">
        <w:t>. v.5, n.2, p.1-14, 2008.</w:t>
      </w:r>
    </w:p>
    <w:p w:rsidR="00960B40" w:rsidRPr="004B4948" w:rsidRDefault="00960B40" w:rsidP="008C7793">
      <w:pPr>
        <w:spacing w:line="480" w:lineRule="auto"/>
        <w:ind w:right="23"/>
        <w:rPr>
          <w:bCs/>
          <w:lang w:val="en-GB"/>
        </w:rPr>
      </w:pPr>
      <w:r w:rsidRPr="00960B40">
        <w:t xml:space="preserve">PFAENDLER, K. S. et al. </w:t>
      </w:r>
      <w:r w:rsidRPr="004B4948">
        <w:rPr>
          <w:bCs/>
          <w:lang w:val="en-GB"/>
        </w:rPr>
        <w:t xml:space="preserve">Cervical cancer survivorship: long-term quality of life and social support. </w:t>
      </w:r>
      <w:r w:rsidRPr="004B4948">
        <w:rPr>
          <w:b/>
          <w:bCs/>
          <w:lang w:val="en-GB"/>
        </w:rPr>
        <w:t>Clin</w:t>
      </w:r>
      <w:r>
        <w:rPr>
          <w:b/>
          <w:bCs/>
          <w:lang w:val="en-GB"/>
        </w:rPr>
        <w:t>ical t</w:t>
      </w:r>
      <w:r w:rsidRPr="004B4948">
        <w:rPr>
          <w:b/>
          <w:bCs/>
          <w:lang w:val="en-GB"/>
        </w:rPr>
        <w:t>her</w:t>
      </w:r>
      <w:r>
        <w:rPr>
          <w:b/>
          <w:bCs/>
          <w:lang w:val="en-GB"/>
        </w:rPr>
        <w:t>apeutics</w:t>
      </w:r>
      <w:r>
        <w:rPr>
          <w:bCs/>
          <w:lang w:val="en-GB"/>
        </w:rPr>
        <w:t>,</w:t>
      </w:r>
      <w:r w:rsidRPr="004B4948">
        <w:rPr>
          <w:b/>
          <w:bCs/>
          <w:lang w:val="en-GB"/>
        </w:rPr>
        <w:t xml:space="preserve"> </w:t>
      </w:r>
      <w:r w:rsidRPr="004B4948">
        <w:rPr>
          <w:bCs/>
          <w:lang w:val="en-GB"/>
        </w:rPr>
        <w:t>v.37, n.1, p.39-48,</w:t>
      </w:r>
      <w:r>
        <w:rPr>
          <w:bCs/>
          <w:lang w:val="en-GB"/>
        </w:rPr>
        <w:t xml:space="preserve"> </w:t>
      </w:r>
      <w:proofErr w:type="spellStart"/>
      <w:proofErr w:type="gramStart"/>
      <w:r>
        <w:rPr>
          <w:bCs/>
          <w:lang w:val="en-GB"/>
        </w:rPr>
        <w:t>jan</w:t>
      </w:r>
      <w:proofErr w:type="gramEnd"/>
      <w:r>
        <w:rPr>
          <w:bCs/>
          <w:lang w:val="en-GB"/>
        </w:rPr>
        <w:t>.</w:t>
      </w:r>
      <w:proofErr w:type="spellEnd"/>
      <w:r w:rsidRPr="004B4948">
        <w:rPr>
          <w:lang w:val="en-GB"/>
        </w:rPr>
        <w:t xml:space="preserve"> </w:t>
      </w:r>
      <w:r w:rsidRPr="004B4948">
        <w:rPr>
          <w:bCs/>
          <w:lang w:val="en-GB"/>
        </w:rPr>
        <w:t>2015.</w:t>
      </w:r>
    </w:p>
    <w:p w:rsidR="00960B40" w:rsidRPr="004B4948" w:rsidRDefault="00960B40" w:rsidP="008C7793">
      <w:pPr>
        <w:tabs>
          <w:tab w:val="left" w:pos="720"/>
        </w:tabs>
        <w:autoSpaceDE w:val="0"/>
        <w:autoSpaceDN w:val="0"/>
        <w:adjustRightInd w:val="0"/>
        <w:spacing w:line="480" w:lineRule="auto"/>
        <w:ind w:right="22"/>
        <w:rPr>
          <w:lang w:val="en-GB"/>
        </w:rPr>
      </w:pPr>
      <w:r>
        <w:rPr>
          <w:lang w:val="en-GB"/>
        </w:rPr>
        <w:t xml:space="preserve">RATNER, E. S. </w:t>
      </w:r>
      <w:r w:rsidRPr="004B4948">
        <w:rPr>
          <w:lang w:val="en-GB"/>
        </w:rPr>
        <w:t xml:space="preserve">et al. Sexuality and intimacy after </w:t>
      </w:r>
      <w:proofErr w:type="spellStart"/>
      <w:r w:rsidRPr="004B4948">
        <w:rPr>
          <w:lang w:val="en-GB"/>
        </w:rPr>
        <w:t>gynecological</w:t>
      </w:r>
      <w:proofErr w:type="spellEnd"/>
      <w:r w:rsidRPr="004B4948">
        <w:rPr>
          <w:lang w:val="en-GB"/>
        </w:rPr>
        <w:t xml:space="preserve"> cancer. </w:t>
      </w:r>
      <w:proofErr w:type="spellStart"/>
      <w:r w:rsidRPr="004B4948">
        <w:rPr>
          <w:b/>
          <w:lang w:val="en-GB"/>
        </w:rPr>
        <w:t>Maturitas</w:t>
      </w:r>
      <w:proofErr w:type="spellEnd"/>
      <w:r>
        <w:rPr>
          <w:lang w:val="en-GB"/>
        </w:rPr>
        <w:t>,</w:t>
      </w:r>
      <w:r w:rsidRPr="004B4948">
        <w:rPr>
          <w:lang w:val="en-GB"/>
        </w:rPr>
        <w:t xml:space="preserve"> v.66, n.1, p.23-26,</w:t>
      </w:r>
      <w:r>
        <w:rPr>
          <w:lang w:val="en-GB"/>
        </w:rPr>
        <w:t xml:space="preserve"> may.</w:t>
      </w:r>
      <w:r w:rsidRPr="004B4948">
        <w:rPr>
          <w:lang w:val="en-GB"/>
        </w:rPr>
        <w:t xml:space="preserve"> 2010.</w:t>
      </w:r>
    </w:p>
    <w:p w:rsidR="00960B40" w:rsidRPr="004B4948" w:rsidRDefault="00960B40" w:rsidP="008C7793">
      <w:pPr>
        <w:tabs>
          <w:tab w:val="left" w:pos="720"/>
        </w:tabs>
        <w:autoSpaceDE w:val="0"/>
        <w:autoSpaceDN w:val="0"/>
        <w:adjustRightInd w:val="0"/>
        <w:spacing w:line="480" w:lineRule="auto"/>
        <w:ind w:right="22"/>
        <w:rPr>
          <w:shd w:val="clear" w:color="auto" w:fill="FFFFFF"/>
          <w:lang w:val="en-US"/>
        </w:rPr>
      </w:pPr>
      <w:bookmarkStart w:id="1" w:name="schles"/>
      <w:r w:rsidRPr="004B4948">
        <w:rPr>
          <w:shd w:val="clear" w:color="auto" w:fill="FFFFFF"/>
          <w:lang w:val="en-US"/>
        </w:rPr>
        <w:t>SCHLESSELMAN</w:t>
      </w:r>
      <w:r>
        <w:rPr>
          <w:shd w:val="clear" w:color="auto" w:fill="FFFFFF"/>
          <w:lang w:val="en-US"/>
        </w:rPr>
        <w:t>,</w:t>
      </w:r>
      <w:r w:rsidRPr="004B4948">
        <w:rPr>
          <w:shd w:val="clear" w:color="auto" w:fill="FFFFFF"/>
          <w:lang w:val="en-US"/>
        </w:rPr>
        <w:t xml:space="preserve"> J</w:t>
      </w:r>
      <w:r>
        <w:rPr>
          <w:shd w:val="clear" w:color="auto" w:fill="FFFFFF"/>
          <w:lang w:val="en-US"/>
        </w:rPr>
        <w:t xml:space="preserve">. </w:t>
      </w:r>
      <w:r w:rsidRPr="004B4948">
        <w:rPr>
          <w:shd w:val="clear" w:color="auto" w:fill="FFFFFF"/>
          <w:lang w:val="en-US"/>
        </w:rPr>
        <w:t>J.</w:t>
      </w:r>
      <w:bookmarkEnd w:id="1"/>
      <w:r w:rsidRPr="004B4948">
        <w:rPr>
          <w:shd w:val="clear" w:color="auto" w:fill="FFFFFF"/>
          <w:lang w:val="en-US"/>
        </w:rPr>
        <w:t> </w:t>
      </w:r>
      <w:r w:rsidRPr="004B4948">
        <w:rPr>
          <w:rStyle w:val="Forte"/>
          <w:b w:val="0"/>
          <w:shd w:val="clear" w:color="auto" w:fill="FFFFFF"/>
          <w:lang w:val="en-US"/>
        </w:rPr>
        <w:t>Case-control studies</w:t>
      </w:r>
      <w:r w:rsidRPr="004B4948">
        <w:rPr>
          <w:b/>
          <w:shd w:val="clear" w:color="auto" w:fill="FFFFFF"/>
          <w:lang w:val="en-US"/>
        </w:rPr>
        <w:t>:</w:t>
      </w:r>
      <w:r w:rsidRPr="004B4948">
        <w:rPr>
          <w:shd w:val="clear" w:color="auto" w:fill="FFFFFF"/>
          <w:lang w:val="en-US"/>
        </w:rPr>
        <w:t xml:space="preserve"> design, conduct, analysis. </w:t>
      </w:r>
      <w:r w:rsidRPr="004B4948">
        <w:rPr>
          <w:b/>
          <w:shd w:val="clear" w:color="auto" w:fill="FFFFFF"/>
          <w:lang w:val="en-US"/>
        </w:rPr>
        <w:t>New York: Oxford University Press</w:t>
      </w:r>
      <w:r w:rsidRPr="004B4948">
        <w:rPr>
          <w:shd w:val="clear" w:color="auto" w:fill="FFFFFF"/>
          <w:lang w:val="en-US"/>
        </w:rPr>
        <w:t xml:space="preserve">. 1982. </w:t>
      </w:r>
    </w:p>
    <w:p w:rsidR="00960B40" w:rsidRPr="004B4948" w:rsidRDefault="00960B40" w:rsidP="008C7793">
      <w:pPr>
        <w:spacing w:line="480" w:lineRule="auto"/>
        <w:ind w:right="23"/>
        <w:rPr>
          <w:lang w:val="en-US"/>
        </w:rPr>
      </w:pPr>
      <w:r w:rsidRPr="004B4948">
        <w:rPr>
          <w:lang w:val="en-US"/>
        </w:rPr>
        <w:lastRenderedPageBreak/>
        <w:t xml:space="preserve">THE WHOQOL GROUP. The World Health Organization quality of life assessment (WHOQOL): position paper from the World Health Organization. </w:t>
      </w:r>
      <w:r>
        <w:rPr>
          <w:b/>
          <w:lang w:val="en-US"/>
        </w:rPr>
        <w:t xml:space="preserve">Social Science &amp; </w:t>
      </w:r>
      <w:r w:rsidRPr="004B4948">
        <w:rPr>
          <w:b/>
          <w:lang w:val="en-US"/>
        </w:rPr>
        <w:t>Medicin</w:t>
      </w:r>
      <w:r>
        <w:rPr>
          <w:b/>
          <w:lang w:val="en-US"/>
        </w:rPr>
        <w:t>e</w:t>
      </w:r>
      <w:r>
        <w:rPr>
          <w:lang w:val="en-US"/>
        </w:rPr>
        <w:t>,</w:t>
      </w:r>
      <w:r w:rsidRPr="004B4948">
        <w:rPr>
          <w:b/>
          <w:lang w:val="en-US"/>
        </w:rPr>
        <w:t xml:space="preserve"> </w:t>
      </w:r>
      <w:r w:rsidRPr="004B4948">
        <w:rPr>
          <w:lang w:val="en-US"/>
        </w:rPr>
        <w:t>v.41, n.10, p.1403-1409,</w:t>
      </w:r>
      <w:r>
        <w:rPr>
          <w:lang w:val="en-US"/>
        </w:rPr>
        <w:t xml:space="preserve"> </w:t>
      </w:r>
      <w:proofErr w:type="spellStart"/>
      <w:proofErr w:type="gramStart"/>
      <w:r>
        <w:rPr>
          <w:lang w:val="en-US"/>
        </w:rPr>
        <w:t>nov</w:t>
      </w:r>
      <w:proofErr w:type="gramEnd"/>
      <w:r>
        <w:rPr>
          <w:lang w:val="en-US"/>
        </w:rPr>
        <w:t>.</w:t>
      </w:r>
      <w:proofErr w:type="spellEnd"/>
      <w:r w:rsidRPr="004B4948">
        <w:rPr>
          <w:lang w:val="en-US"/>
        </w:rPr>
        <w:t xml:space="preserve"> 1995.</w:t>
      </w:r>
    </w:p>
    <w:p w:rsidR="00960B40" w:rsidRPr="001755F6" w:rsidRDefault="00960B40" w:rsidP="008C7793">
      <w:pPr>
        <w:spacing w:line="480" w:lineRule="auto"/>
        <w:ind w:right="23"/>
      </w:pPr>
      <w:r>
        <w:rPr>
          <w:lang w:val="en-GB"/>
        </w:rPr>
        <w:t xml:space="preserve">TIWARI, P. </w:t>
      </w:r>
      <w:r w:rsidRPr="001755F6">
        <w:rPr>
          <w:lang w:val="en-GB"/>
        </w:rPr>
        <w:t xml:space="preserve">et al. </w:t>
      </w:r>
      <w:r w:rsidRPr="004B4948">
        <w:rPr>
          <w:lang w:val="en-GB"/>
        </w:rPr>
        <w:t xml:space="preserve">Breast and </w:t>
      </w:r>
      <w:proofErr w:type="spellStart"/>
      <w:r w:rsidRPr="004B4948">
        <w:rPr>
          <w:lang w:val="en-GB"/>
        </w:rPr>
        <w:t>gynecologic</w:t>
      </w:r>
      <w:proofErr w:type="spellEnd"/>
      <w:r w:rsidRPr="004B4948">
        <w:rPr>
          <w:lang w:val="en-GB"/>
        </w:rPr>
        <w:t xml:space="preserve"> cancer-related extremity lymphedema: a review of diagnostic modalities and management options. </w:t>
      </w:r>
      <w:r w:rsidRPr="00FD0A3E">
        <w:rPr>
          <w:b/>
          <w:lang w:val="en-GB"/>
        </w:rPr>
        <w:t xml:space="preserve">World </w:t>
      </w:r>
      <w:proofErr w:type="spellStart"/>
      <w:r w:rsidRPr="001755F6">
        <w:rPr>
          <w:b/>
        </w:rPr>
        <w:t>j</w:t>
      </w:r>
      <w:r>
        <w:rPr>
          <w:b/>
        </w:rPr>
        <w:t>ournal</w:t>
      </w:r>
      <w:proofErr w:type="spellEnd"/>
      <w:r w:rsidRPr="001755F6">
        <w:rPr>
          <w:b/>
        </w:rPr>
        <w:t xml:space="preserve"> </w:t>
      </w:r>
      <w:proofErr w:type="spellStart"/>
      <w:r>
        <w:rPr>
          <w:b/>
        </w:rPr>
        <w:t>of</w:t>
      </w:r>
      <w:proofErr w:type="spellEnd"/>
      <w:r>
        <w:rPr>
          <w:b/>
        </w:rPr>
        <w:t xml:space="preserve"> </w:t>
      </w:r>
      <w:proofErr w:type="spellStart"/>
      <w:r>
        <w:rPr>
          <w:b/>
        </w:rPr>
        <w:t>surgical</w:t>
      </w:r>
      <w:proofErr w:type="spellEnd"/>
      <w:r>
        <w:rPr>
          <w:b/>
        </w:rPr>
        <w:t xml:space="preserve"> </w:t>
      </w:r>
      <w:proofErr w:type="spellStart"/>
      <w:r>
        <w:rPr>
          <w:b/>
        </w:rPr>
        <w:t>o</w:t>
      </w:r>
      <w:r w:rsidRPr="001755F6">
        <w:rPr>
          <w:b/>
        </w:rPr>
        <w:t>ncol</w:t>
      </w:r>
      <w:r>
        <w:rPr>
          <w:b/>
        </w:rPr>
        <w:t>ogy</w:t>
      </w:r>
      <w:proofErr w:type="spellEnd"/>
      <w:r>
        <w:t>,</w:t>
      </w:r>
      <w:r w:rsidRPr="001755F6">
        <w:t xml:space="preserve"> v.11, p.237,</w:t>
      </w:r>
      <w:r>
        <w:t xml:space="preserve"> sep.</w:t>
      </w:r>
      <w:r w:rsidRPr="001755F6">
        <w:t xml:space="preserve"> 2013.</w:t>
      </w:r>
    </w:p>
    <w:p w:rsidR="00960B40" w:rsidRPr="004B4948" w:rsidRDefault="00960B40" w:rsidP="008C7793">
      <w:pPr>
        <w:spacing w:line="480" w:lineRule="auto"/>
        <w:ind w:right="23"/>
      </w:pPr>
      <w:r w:rsidRPr="004B4948">
        <w:t>VIDAL</w:t>
      </w:r>
      <w:r>
        <w:t>,</w:t>
      </w:r>
      <w:r w:rsidRPr="004B4948">
        <w:t xml:space="preserve"> M</w:t>
      </w:r>
      <w:r>
        <w:t xml:space="preserve">. </w:t>
      </w:r>
      <w:r w:rsidRPr="004B4948">
        <w:t>L</w:t>
      </w:r>
      <w:r>
        <w:t xml:space="preserve">. </w:t>
      </w:r>
      <w:r w:rsidRPr="004B4948">
        <w:t xml:space="preserve">B. Instituto Nacional de Câncer. </w:t>
      </w:r>
      <w:r w:rsidRPr="004B4948">
        <w:rPr>
          <w:b/>
        </w:rPr>
        <w:t>Efeitos adversos tardios subsequentes ao tratamento radioterápico para câncer de colo uterino na bexiga, reto e função sexual</w:t>
      </w:r>
      <w:r w:rsidRPr="004B4948">
        <w:t>. Rio de Janeiro: Instituto Nacional de Câncer; 2008.</w:t>
      </w:r>
    </w:p>
    <w:p w:rsidR="00960B40" w:rsidRPr="004B4948" w:rsidRDefault="00960B40" w:rsidP="008C7793">
      <w:pPr>
        <w:spacing w:line="480" w:lineRule="auto"/>
        <w:ind w:right="23"/>
        <w:rPr>
          <w:lang w:val="en-US"/>
        </w:rPr>
      </w:pPr>
      <w:r>
        <w:t xml:space="preserve">WENZEL, L. </w:t>
      </w:r>
      <w:r w:rsidRPr="001755F6">
        <w:t xml:space="preserve">et al. </w:t>
      </w:r>
      <w:r w:rsidRPr="004B4948">
        <w:rPr>
          <w:lang w:val="en-US"/>
        </w:rPr>
        <w:t xml:space="preserve">Quality of life in long-term cervical cancer survivors. </w:t>
      </w:r>
      <w:r w:rsidRPr="004B4948">
        <w:rPr>
          <w:b/>
          <w:lang w:val="en-US"/>
        </w:rPr>
        <w:t>Gynecol</w:t>
      </w:r>
      <w:r>
        <w:rPr>
          <w:b/>
          <w:lang w:val="en-US"/>
        </w:rPr>
        <w:t>ogic</w:t>
      </w:r>
      <w:r w:rsidRPr="004B4948">
        <w:rPr>
          <w:b/>
          <w:lang w:val="en-US"/>
        </w:rPr>
        <w:t xml:space="preserve"> Oncol</w:t>
      </w:r>
      <w:r>
        <w:rPr>
          <w:b/>
          <w:lang w:val="en-US"/>
        </w:rPr>
        <w:t>ogy</w:t>
      </w:r>
      <w:r>
        <w:rPr>
          <w:lang w:val="en-US"/>
        </w:rPr>
        <w:t>,</w:t>
      </w:r>
      <w:r w:rsidRPr="004B4948">
        <w:rPr>
          <w:lang w:val="en-US"/>
        </w:rPr>
        <w:t xml:space="preserve"> v.97, n.2, p.310-17,</w:t>
      </w:r>
      <w:r>
        <w:rPr>
          <w:lang w:val="en-US"/>
        </w:rPr>
        <w:t xml:space="preserve"> may.</w:t>
      </w:r>
      <w:r w:rsidRPr="004B4948">
        <w:rPr>
          <w:lang w:val="en-US"/>
        </w:rPr>
        <w:t xml:space="preserve"> 2005.</w:t>
      </w:r>
    </w:p>
    <w:p w:rsidR="00960B40" w:rsidRPr="004B4948" w:rsidRDefault="00960B40" w:rsidP="008C7793">
      <w:pPr>
        <w:spacing w:line="480" w:lineRule="auto"/>
        <w:ind w:right="23"/>
        <w:rPr>
          <w:lang w:val="en-GB"/>
        </w:rPr>
      </w:pPr>
      <w:r w:rsidRPr="004B4948">
        <w:rPr>
          <w:lang w:val="en-GB"/>
        </w:rPr>
        <w:t>WHITE</w:t>
      </w:r>
      <w:r>
        <w:rPr>
          <w:lang w:val="en-GB"/>
        </w:rPr>
        <w:t>,</w:t>
      </w:r>
      <w:r w:rsidRPr="004B4948">
        <w:rPr>
          <w:lang w:val="en-GB"/>
        </w:rPr>
        <w:t xml:space="preserve"> I</w:t>
      </w:r>
      <w:r>
        <w:rPr>
          <w:lang w:val="en-GB"/>
        </w:rPr>
        <w:t xml:space="preserve">. </w:t>
      </w:r>
      <w:r w:rsidRPr="004B4948">
        <w:rPr>
          <w:lang w:val="en-GB"/>
        </w:rPr>
        <w:t xml:space="preserve">D. The Assessment and Management of Sexual Difficulties after Treatment of Cervical and Endometrial Malignancies. </w:t>
      </w:r>
      <w:r w:rsidRPr="004B4948">
        <w:rPr>
          <w:b/>
          <w:lang w:val="en-GB"/>
        </w:rPr>
        <w:t>Clin</w:t>
      </w:r>
      <w:r>
        <w:rPr>
          <w:b/>
          <w:lang w:val="en-GB"/>
        </w:rPr>
        <w:t>ical o</w:t>
      </w:r>
      <w:r w:rsidRPr="004B4948">
        <w:rPr>
          <w:b/>
          <w:lang w:val="en-GB"/>
        </w:rPr>
        <w:t>ncol</w:t>
      </w:r>
      <w:r>
        <w:rPr>
          <w:b/>
          <w:lang w:val="en-GB"/>
        </w:rPr>
        <w:t>ogy (Royal College of Radiologists (Great Britain))</w:t>
      </w:r>
      <w:r>
        <w:rPr>
          <w:lang w:val="en-GB"/>
        </w:rPr>
        <w:t>,</w:t>
      </w:r>
      <w:r w:rsidRPr="004B4948">
        <w:rPr>
          <w:lang w:val="en-GB"/>
        </w:rPr>
        <w:t xml:space="preserve"> v.20, n.6, p.488-496,</w:t>
      </w:r>
      <w:r>
        <w:rPr>
          <w:lang w:val="en-GB"/>
        </w:rPr>
        <w:t xml:space="preserve"> aug.</w:t>
      </w:r>
      <w:r w:rsidRPr="004B4948">
        <w:rPr>
          <w:lang w:val="en-GB"/>
        </w:rPr>
        <w:t xml:space="preserve"> 2008.</w:t>
      </w:r>
    </w:p>
    <w:p w:rsidR="00960B40" w:rsidRPr="004B4948" w:rsidRDefault="00960B40" w:rsidP="008C7793">
      <w:pPr>
        <w:spacing w:line="480" w:lineRule="auto"/>
        <w:ind w:right="23"/>
        <w:rPr>
          <w:bCs/>
          <w:lang w:val="en-US"/>
        </w:rPr>
      </w:pPr>
      <w:r w:rsidRPr="004B4948">
        <w:rPr>
          <w:lang w:val="en-US"/>
        </w:rPr>
        <w:t>WIEGEL</w:t>
      </w:r>
      <w:r>
        <w:rPr>
          <w:lang w:val="en-US"/>
        </w:rPr>
        <w:t>,</w:t>
      </w:r>
      <w:r w:rsidRPr="004B4948">
        <w:rPr>
          <w:lang w:val="en-US"/>
        </w:rPr>
        <w:t xml:space="preserve"> M</w:t>
      </w:r>
      <w:r>
        <w:rPr>
          <w:lang w:val="en-US"/>
        </w:rPr>
        <w:t>.;</w:t>
      </w:r>
      <w:r w:rsidRPr="004B4948">
        <w:rPr>
          <w:lang w:val="en-US"/>
        </w:rPr>
        <w:t xml:space="preserve"> MESTON</w:t>
      </w:r>
      <w:r>
        <w:rPr>
          <w:lang w:val="en-US"/>
        </w:rPr>
        <w:t>, C;</w:t>
      </w:r>
      <w:r w:rsidRPr="004B4948">
        <w:rPr>
          <w:lang w:val="en-US"/>
        </w:rPr>
        <w:t xml:space="preserve"> ROSEN</w:t>
      </w:r>
      <w:r>
        <w:rPr>
          <w:lang w:val="en-US"/>
        </w:rPr>
        <w:t>,</w:t>
      </w:r>
      <w:r w:rsidRPr="004B4948">
        <w:rPr>
          <w:lang w:val="en-US"/>
        </w:rPr>
        <w:t xml:space="preserve"> R. The Female Sexual Function Index (FSFI): cross-validation and development of clinical cutoff scores.</w:t>
      </w:r>
      <w:r>
        <w:rPr>
          <w:lang w:val="en-US"/>
        </w:rPr>
        <w:t xml:space="preserve"> </w:t>
      </w:r>
      <w:r>
        <w:rPr>
          <w:b/>
          <w:lang w:val="en-US"/>
        </w:rPr>
        <w:t>Journal of Sex &amp; Marital Therapy</w:t>
      </w:r>
      <w:r>
        <w:rPr>
          <w:lang w:val="en-US"/>
        </w:rPr>
        <w:t>,</w:t>
      </w:r>
      <w:r w:rsidRPr="004B4948">
        <w:rPr>
          <w:bCs/>
          <w:lang w:val="en-US"/>
        </w:rPr>
        <w:t xml:space="preserve"> v.31, n.1, p.1-20,</w:t>
      </w:r>
      <w:r>
        <w:rPr>
          <w:bCs/>
          <w:lang w:val="en-US"/>
        </w:rPr>
        <w:t xml:space="preserve"> jan./feb.</w:t>
      </w:r>
      <w:r w:rsidRPr="004B4948">
        <w:rPr>
          <w:bCs/>
          <w:lang w:val="en-US"/>
        </w:rPr>
        <w:t xml:space="preserve"> 2005.</w:t>
      </w:r>
    </w:p>
    <w:p w:rsidR="00D67F15" w:rsidRPr="00960B40" w:rsidRDefault="00960B40" w:rsidP="008C7793">
      <w:pPr>
        <w:tabs>
          <w:tab w:val="left" w:pos="720"/>
        </w:tabs>
        <w:autoSpaceDE w:val="0"/>
        <w:autoSpaceDN w:val="0"/>
        <w:adjustRightInd w:val="0"/>
        <w:spacing w:line="480" w:lineRule="auto"/>
        <w:ind w:right="22"/>
        <w:rPr>
          <w:lang w:val="en-GB"/>
        </w:rPr>
      </w:pPr>
      <w:r w:rsidRPr="00507B9B">
        <w:rPr>
          <w:lang w:val="en-GB"/>
        </w:rPr>
        <w:t xml:space="preserve">ZHOU, W. et al. Survey of cervical cancer survivors regarding quality of life and sexual function. </w:t>
      </w:r>
      <w:r w:rsidRPr="00507B9B">
        <w:rPr>
          <w:b/>
          <w:lang w:val="en-GB"/>
        </w:rPr>
        <w:t>Journal of Cancer Research and Therapeutics</w:t>
      </w:r>
      <w:r w:rsidRPr="00507B9B">
        <w:rPr>
          <w:lang w:val="en-GB"/>
        </w:rPr>
        <w:t>, v.12, n.2, p.938-944, apr./jun. 2016</w:t>
      </w:r>
      <w:r>
        <w:rPr>
          <w:lang w:val="en-GB"/>
        </w:rPr>
        <w:t>.</w:t>
      </w:r>
    </w:p>
    <w:p w:rsidR="00D67F15" w:rsidRPr="00960B40" w:rsidRDefault="00D67F15" w:rsidP="00E42914">
      <w:pPr>
        <w:tabs>
          <w:tab w:val="left" w:pos="720"/>
        </w:tabs>
        <w:autoSpaceDE w:val="0"/>
        <w:autoSpaceDN w:val="0"/>
        <w:adjustRightInd w:val="0"/>
        <w:spacing w:line="360" w:lineRule="auto"/>
        <w:ind w:right="22"/>
        <w:jc w:val="both"/>
        <w:rPr>
          <w:lang w:val="en-GB"/>
        </w:rPr>
      </w:pPr>
    </w:p>
    <w:p w:rsidR="00D67F15" w:rsidRPr="00960B40" w:rsidRDefault="00D67F15" w:rsidP="00E42914">
      <w:pPr>
        <w:tabs>
          <w:tab w:val="left" w:pos="720"/>
        </w:tabs>
        <w:autoSpaceDE w:val="0"/>
        <w:autoSpaceDN w:val="0"/>
        <w:adjustRightInd w:val="0"/>
        <w:spacing w:line="360" w:lineRule="auto"/>
        <w:ind w:right="22"/>
        <w:jc w:val="both"/>
        <w:rPr>
          <w:lang w:val="en-GB"/>
        </w:rPr>
      </w:pPr>
    </w:p>
    <w:p w:rsidR="00770BA8" w:rsidRPr="00960B40" w:rsidRDefault="00770BA8" w:rsidP="00D67F15">
      <w:pPr>
        <w:tabs>
          <w:tab w:val="left" w:pos="720"/>
        </w:tabs>
        <w:autoSpaceDE w:val="0"/>
        <w:autoSpaceDN w:val="0"/>
        <w:adjustRightInd w:val="0"/>
        <w:spacing w:line="360" w:lineRule="auto"/>
        <w:ind w:right="22"/>
        <w:jc w:val="both"/>
        <w:rPr>
          <w:lang w:val="en-GB"/>
        </w:rPr>
      </w:pPr>
    </w:p>
    <w:sectPr w:rsidR="00770BA8" w:rsidRPr="00960B40" w:rsidSect="00BB30A3">
      <w:headerReference w:type="default" r:id="rId10"/>
      <w:footerReference w:type="default" r:id="rId11"/>
      <w:headerReference w:type="first" r:id="rId12"/>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730" w:rsidRDefault="00F87730" w:rsidP="004A05E0">
      <w:r>
        <w:separator/>
      </w:r>
    </w:p>
  </w:endnote>
  <w:endnote w:type="continuationSeparator" w:id="0">
    <w:p w:rsidR="00F87730" w:rsidRDefault="00F87730" w:rsidP="004A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42" w:rsidRDefault="009E0742" w:rsidP="00D31D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9E0742" w:rsidRDefault="009E0742" w:rsidP="00D31D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42" w:rsidRDefault="009E0742" w:rsidP="00D31D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467F">
      <w:rPr>
        <w:rStyle w:val="Nmerodepgina"/>
        <w:noProof/>
      </w:rPr>
      <w:t>12</w:t>
    </w:r>
    <w:r>
      <w:rPr>
        <w:rStyle w:val="Nmerodepgina"/>
      </w:rPr>
      <w:fldChar w:fldCharType="end"/>
    </w:r>
  </w:p>
  <w:p w:rsidR="009E0742" w:rsidRDefault="009E0742" w:rsidP="00D31D08">
    <w:pPr>
      <w:pStyle w:val="Rodap"/>
      <w:ind w:right="360"/>
      <w:jc w:val="right"/>
    </w:pPr>
  </w:p>
  <w:p w:rsidR="009E0742" w:rsidRPr="00BE53EE" w:rsidRDefault="009E0742" w:rsidP="00D31D08">
    <w:pPr>
      <w:pStyle w:val="Rodap"/>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42" w:rsidRDefault="009E0742">
    <w:pPr>
      <w:pStyle w:val="Rodap"/>
    </w:pPr>
  </w:p>
  <w:p w:rsidR="009E0742" w:rsidRDefault="009E07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730" w:rsidRDefault="00F87730" w:rsidP="004A05E0">
      <w:r>
        <w:separator/>
      </w:r>
    </w:p>
  </w:footnote>
  <w:footnote w:type="continuationSeparator" w:id="0">
    <w:p w:rsidR="00F87730" w:rsidRDefault="00F87730" w:rsidP="004A0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623583"/>
      <w:docPartObj>
        <w:docPartGallery w:val="Page Numbers (Top of Page)"/>
        <w:docPartUnique/>
      </w:docPartObj>
    </w:sdtPr>
    <w:sdtContent>
      <w:p w:rsidR="009E0742" w:rsidRDefault="009E0742">
        <w:pPr>
          <w:pStyle w:val="Cabealho"/>
          <w:jc w:val="right"/>
        </w:pPr>
        <w:r>
          <w:rPr>
            <w:noProof/>
          </w:rPr>
          <w:fldChar w:fldCharType="begin"/>
        </w:r>
        <w:r>
          <w:rPr>
            <w:noProof/>
          </w:rPr>
          <w:instrText>PAGE   \* MERGEFORMAT</w:instrText>
        </w:r>
        <w:r>
          <w:rPr>
            <w:noProof/>
          </w:rPr>
          <w:fldChar w:fldCharType="separate"/>
        </w:r>
        <w:r w:rsidR="0088467F">
          <w:rPr>
            <w:noProof/>
          </w:rPr>
          <w:t>22</w:t>
        </w:r>
        <w:r>
          <w:rPr>
            <w:noProof/>
          </w:rPr>
          <w:fldChar w:fldCharType="end"/>
        </w:r>
      </w:p>
    </w:sdtContent>
  </w:sdt>
  <w:p w:rsidR="009E0742" w:rsidRDefault="009E07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6582051"/>
      <w:docPartObj>
        <w:docPartGallery w:val="Page Numbers (Top of Page)"/>
        <w:docPartUnique/>
      </w:docPartObj>
    </w:sdtPr>
    <w:sdtContent>
      <w:p w:rsidR="009E0742" w:rsidRDefault="009E0742">
        <w:pPr>
          <w:pStyle w:val="Cabealho"/>
          <w:jc w:val="right"/>
        </w:pPr>
        <w:r>
          <w:rPr>
            <w:noProof/>
          </w:rPr>
          <w:fldChar w:fldCharType="begin"/>
        </w:r>
        <w:r>
          <w:rPr>
            <w:noProof/>
          </w:rPr>
          <w:instrText>PAGE   \* MERGEFORMAT</w:instrText>
        </w:r>
        <w:r>
          <w:rPr>
            <w:noProof/>
          </w:rPr>
          <w:fldChar w:fldCharType="separate"/>
        </w:r>
        <w:r w:rsidR="005F3348">
          <w:rPr>
            <w:noProof/>
          </w:rPr>
          <w:t>14</w:t>
        </w:r>
        <w:r>
          <w:rPr>
            <w:noProof/>
          </w:rPr>
          <w:fldChar w:fldCharType="end"/>
        </w:r>
      </w:p>
    </w:sdtContent>
  </w:sdt>
  <w:p w:rsidR="009E0742" w:rsidRDefault="009E07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16C2D"/>
    <w:multiLevelType w:val="hybridMultilevel"/>
    <w:tmpl w:val="A486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9BF7250"/>
    <w:multiLevelType w:val="hybridMultilevel"/>
    <w:tmpl w:val="5142A504"/>
    <w:lvl w:ilvl="0" w:tplc="04160001">
      <w:start w:val="7"/>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awMDc2NzEzMja0MDdU0lEKTi0uzszPAykwrAUA0LQn+CwAAAA="/>
  </w:docVars>
  <w:rsids>
    <w:rsidRoot w:val="008C58C1"/>
    <w:rsid w:val="00013A50"/>
    <w:rsid w:val="00016710"/>
    <w:rsid w:val="00024C39"/>
    <w:rsid w:val="00030766"/>
    <w:rsid w:val="000315FF"/>
    <w:rsid w:val="00045F40"/>
    <w:rsid w:val="000479CF"/>
    <w:rsid w:val="0005371D"/>
    <w:rsid w:val="00053A8E"/>
    <w:rsid w:val="00054AB0"/>
    <w:rsid w:val="00054B17"/>
    <w:rsid w:val="00060B54"/>
    <w:rsid w:val="00061CCE"/>
    <w:rsid w:val="00065B5B"/>
    <w:rsid w:val="0007077E"/>
    <w:rsid w:val="000810C6"/>
    <w:rsid w:val="000925BF"/>
    <w:rsid w:val="00092B6F"/>
    <w:rsid w:val="000A18E4"/>
    <w:rsid w:val="000B2B42"/>
    <w:rsid w:val="000B5BFD"/>
    <w:rsid w:val="000B5D4E"/>
    <w:rsid w:val="000C45F5"/>
    <w:rsid w:val="000C4CB1"/>
    <w:rsid w:val="000D7279"/>
    <w:rsid w:val="000E3624"/>
    <w:rsid w:val="000E5106"/>
    <w:rsid w:val="000F0B65"/>
    <w:rsid w:val="000F295C"/>
    <w:rsid w:val="000F75C3"/>
    <w:rsid w:val="001032EC"/>
    <w:rsid w:val="00104284"/>
    <w:rsid w:val="001136A5"/>
    <w:rsid w:val="00117BEB"/>
    <w:rsid w:val="00123FB4"/>
    <w:rsid w:val="00127529"/>
    <w:rsid w:val="0013476A"/>
    <w:rsid w:val="001459C6"/>
    <w:rsid w:val="00150345"/>
    <w:rsid w:val="00150F09"/>
    <w:rsid w:val="00173153"/>
    <w:rsid w:val="001856C9"/>
    <w:rsid w:val="001928E5"/>
    <w:rsid w:val="00193B24"/>
    <w:rsid w:val="001A35C3"/>
    <w:rsid w:val="001A4054"/>
    <w:rsid w:val="001A4D44"/>
    <w:rsid w:val="001A60BE"/>
    <w:rsid w:val="001C7DB0"/>
    <w:rsid w:val="001D0F6D"/>
    <w:rsid w:val="001E7A14"/>
    <w:rsid w:val="001E7F50"/>
    <w:rsid w:val="001F7171"/>
    <w:rsid w:val="00217D89"/>
    <w:rsid w:val="00222601"/>
    <w:rsid w:val="00226452"/>
    <w:rsid w:val="00227CCB"/>
    <w:rsid w:val="00227D63"/>
    <w:rsid w:val="002460EB"/>
    <w:rsid w:val="00263760"/>
    <w:rsid w:val="002671CF"/>
    <w:rsid w:val="00274220"/>
    <w:rsid w:val="00285F73"/>
    <w:rsid w:val="00286319"/>
    <w:rsid w:val="00295B2D"/>
    <w:rsid w:val="002A5FDC"/>
    <w:rsid w:val="002A6B63"/>
    <w:rsid w:val="002A76FE"/>
    <w:rsid w:val="002B570B"/>
    <w:rsid w:val="002C7AB8"/>
    <w:rsid w:val="002D0458"/>
    <w:rsid w:val="002D65BC"/>
    <w:rsid w:val="002F37A4"/>
    <w:rsid w:val="003038B1"/>
    <w:rsid w:val="003070A5"/>
    <w:rsid w:val="00326062"/>
    <w:rsid w:val="00330018"/>
    <w:rsid w:val="00337168"/>
    <w:rsid w:val="00342A2B"/>
    <w:rsid w:val="003609DA"/>
    <w:rsid w:val="0036688B"/>
    <w:rsid w:val="00366901"/>
    <w:rsid w:val="00371056"/>
    <w:rsid w:val="00387359"/>
    <w:rsid w:val="00395600"/>
    <w:rsid w:val="003A1344"/>
    <w:rsid w:val="003A3B3C"/>
    <w:rsid w:val="003A64F2"/>
    <w:rsid w:val="003B4A96"/>
    <w:rsid w:val="003C4200"/>
    <w:rsid w:val="003D30E0"/>
    <w:rsid w:val="003E1C49"/>
    <w:rsid w:val="003E2C1B"/>
    <w:rsid w:val="003E4947"/>
    <w:rsid w:val="003E4F6F"/>
    <w:rsid w:val="003F109D"/>
    <w:rsid w:val="00402407"/>
    <w:rsid w:val="00420767"/>
    <w:rsid w:val="004231AC"/>
    <w:rsid w:val="00424EA2"/>
    <w:rsid w:val="00425BEE"/>
    <w:rsid w:val="00427AE1"/>
    <w:rsid w:val="00437B9E"/>
    <w:rsid w:val="004434ED"/>
    <w:rsid w:val="00444CA4"/>
    <w:rsid w:val="00445A08"/>
    <w:rsid w:val="00447A6F"/>
    <w:rsid w:val="004524BB"/>
    <w:rsid w:val="0045315C"/>
    <w:rsid w:val="00461A05"/>
    <w:rsid w:val="004623D4"/>
    <w:rsid w:val="004624E9"/>
    <w:rsid w:val="00464887"/>
    <w:rsid w:val="0048224E"/>
    <w:rsid w:val="004846D4"/>
    <w:rsid w:val="004917E0"/>
    <w:rsid w:val="004924E4"/>
    <w:rsid w:val="00492B5B"/>
    <w:rsid w:val="004A05E0"/>
    <w:rsid w:val="004B4EC0"/>
    <w:rsid w:val="004C2988"/>
    <w:rsid w:val="004E034C"/>
    <w:rsid w:val="004E5545"/>
    <w:rsid w:val="004E56BD"/>
    <w:rsid w:val="004F654E"/>
    <w:rsid w:val="00502CCF"/>
    <w:rsid w:val="00502D8E"/>
    <w:rsid w:val="005148F0"/>
    <w:rsid w:val="00516000"/>
    <w:rsid w:val="00522ABF"/>
    <w:rsid w:val="00524B7A"/>
    <w:rsid w:val="005324FA"/>
    <w:rsid w:val="00533536"/>
    <w:rsid w:val="0054777F"/>
    <w:rsid w:val="0055135F"/>
    <w:rsid w:val="00554A88"/>
    <w:rsid w:val="005630E7"/>
    <w:rsid w:val="005649A1"/>
    <w:rsid w:val="005741F9"/>
    <w:rsid w:val="005877A9"/>
    <w:rsid w:val="00594D05"/>
    <w:rsid w:val="005A27FF"/>
    <w:rsid w:val="005A4F53"/>
    <w:rsid w:val="005A741E"/>
    <w:rsid w:val="005A79AC"/>
    <w:rsid w:val="005C3D23"/>
    <w:rsid w:val="005D3FC9"/>
    <w:rsid w:val="005E1B5D"/>
    <w:rsid w:val="005E32B3"/>
    <w:rsid w:val="005E6E27"/>
    <w:rsid w:val="005F22DF"/>
    <w:rsid w:val="005F3252"/>
    <w:rsid w:val="005F3348"/>
    <w:rsid w:val="005F3C11"/>
    <w:rsid w:val="00604A8A"/>
    <w:rsid w:val="006071E6"/>
    <w:rsid w:val="00612C82"/>
    <w:rsid w:val="00623D4D"/>
    <w:rsid w:val="00624A7D"/>
    <w:rsid w:val="00627900"/>
    <w:rsid w:val="00632821"/>
    <w:rsid w:val="006377AC"/>
    <w:rsid w:val="00641D30"/>
    <w:rsid w:val="00647C18"/>
    <w:rsid w:val="006539B3"/>
    <w:rsid w:val="00653DC4"/>
    <w:rsid w:val="00655C7D"/>
    <w:rsid w:val="00656180"/>
    <w:rsid w:val="0067100F"/>
    <w:rsid w:val="006724C3"/>
    <w:rsid w:val="0067488A"/>
    <w:rsid w:val="00681BFE"/>
    <w:rsid w:val="00681C2B"/>
    <w:rsid w:val="00681FF0"/>
    <w:rsid w:val="00686FFA"/>
    <w:rsid w:val="00691A70"/>
    <w:rsid w:val="00692A8E"/>
    <w:rsid w:val="0069571D"/>
    <w:rsid w:val="00695B84"/>
    <w:rsid w:val="006A41CB"/>
    <w:rsid w:val="006B27C9"/>
    <w:rsid w:val="006C4DAB"/>
    <w:rsid w:val="006C6E76"/>
    <w:rsid w:val="006D045B"/>
    <w:rsid w:val="006D1A29"/>
    <w:rsid w:val="006E14EE"/>
    <w:rsid w:val="006E7C7C"/>
    <w:rsid w:val="006F5749"/>
    <w:rsid w:val="006F5EFA"/>
    <w:rsid w:val="006F7272"/>
    <w:rsid w:val="0070607D"/>
    <w:rsid w:val="00713763"/>
    <w:rsid w:val="007173D1"/>
    <w:rsid w:val="00721E05"/>
    <w:rsid w:val="0073015B"/>
    <w:rsid w:val="00730D3E"/>
    <w:rsid w:val="00734149"/>
    <w:rsid w:val="0073686C"/>
    <w:rsid w:val="007426A0"/>
    <w:rsid w:val="00745E85"/>
    <w:rsid w:val="007503A8"/>
    <w:rsid w:val="00756494"/>
    <w:rsid w:val="0077008F"/>
    <w:rsid w:val="00770BA8"/>
    <w:rsid w:val="00771E0B"/>
    <w:rsid w:val="00777C2F"/>
    <w:rsid w:val="00783958"/>
    <w:rsid w:val="007B0C10"/>
    <w:rsid w:val="007B16AC"/>
    <w:rsid w:val="007B1E43"/>
    <w:rsid w:val="007B6086"/>
    <w:rsid w:val="007B7050"/>
    <w:rsid w:val="007C0A04"/>
    <w:rsid w:val="007C1874"/>
    <w:rsid w:val="007C75B7"/>
    <w:rsid w:val="007D0767"/>
    <w:rsid w:val="007D1B3F"/>
    <w:rsid w:val="007E43C5"/>
    <w:rsid w:val="007E759F"/>
    <w:rsid w:val="007F437A"/>
    <w:rsid w:val="008035D9"/>
    <w:rsid w:val="0082210D"/>
    <w:rsid w:val="008248F1"/>
    <w:rsid w:val="0083190B"/>
    <w:rsid w:val="00831BCB"/>
    <w:rsid w:val="00837FB0"/>
    <w:rsid w:val="00840565"/>
    <w:rsid w:val="00841AB7"/>
    <w:rsid w:val="008452E7"/>
    <w:rsid w:val="00846024"/>
    <w:rsid w:val="00847871"/>
    <w:rsid w:val="008543AB"/>
    <w:rsid w:val="00855BA6"/>
    <w:rsid w:val="008715A4"/>
    <w:rsid w:val="00871F61"/>
    <w:rsid w:val="00877B74"/>
    <w:rsid w:val="0088401C"/>
    <w:rsid w:val="0088467F"/>
    <w:rsid w:val="008A3FC0"/>
    <w:rsid w:val="008A6744"/>
    <w:rsid w:val="008C39E9"/>
    <w:rsid w:val="008C58C1"/>
    <w:rsid w:val="008C7793"/>
    <w:rsid w:val="008D3E2D"/>
    <w:rsid w:val="008D44C2"/>
    <w:rsid w:val="008D4F16"/>
    <w:rsid w:val="00901F51"/>
    <w:rsid w:val="009136A1"/>
    <w:rsid w:val="009141BD"/>
    <w:rsid w:val="009160A8"/>
    <w:rsid w:val="00950042"/>
    <w:rsid w:val="00950900"/>
    <w:rsid w:val="00955FC9"/>
    <w:rsid w:val="00960B40"/>
    <w:rsid w:val="00971BFC"/>
    <w:rsid w:val="00983862"/>
    <w:rsid w:val="00984AD2"/>
    <w:rsid w:val="0098759B"/>
    <w:rsid w:val="00987B49"/>
    <w:rsid w:val="009A0909"/>
    <w:rsid w:val="009A4DAD"/>
    <w:rsid w:val="009A58FF"/>
    <w:rsid w:val="009B2AD3"/>
    <w:rsid w:val="009B35B8"/>
    <w:rsid w:val="009B6A95"/>
    <w:rsid w:val="009C32D4"/>
    <w:rsid w:val="009D46C6"/>
    <w:rsid w:val="009E0742"/>
    <w:rsid w:val="009E357D"/>
    <w:rsid w:val="009E5BB4"/>
    <w:rsid w:val="009F191C"/>
    <w:rsid w:val="009F3BEF"/>
    <w:rsid w:val="00A04282"/>
    <w:rsid w:val="00A11E7F"/>
    <w:rsid w:val="00A1488D"/>
    <w:rsid w:val="00A232C9"/>
    <w:rsid w:val="00A25D3B"/>
    <w:rsid w:val="00A44304"/>
    <w:rsid w:val="00A5043A"/>
    <w:rsid w:val="00A51453"/>
    <w:rsid w:val="00A536A3"/>
    <w:rsid w:val="00A738EB"/>
    <w:rsid w:val="00A76ED7"/>
    <w:rsid w:val="00A8106F"/>
    <w:rsid w:val="00A82955"/>
    <w:rsid w:val="00A9237F"/>
    <w:rsid w:val="00A93934"/>
    <w:rsid w:val="00A953CD"/>
    <w:rsid w:val="00AA760C"/>
    <w:rsid w:val="00AC1B12"/>
    <w:rsid w:val="00AD42F6"/>
    <w:rsid w:val="00AD64C1"/>
    <w:rsid w:val="00AE5C18"/>
    <w:rsid w:val="00AF663A"/>
    <w:rsid w:val="00B02CD3"/>
    <w:rsid w:val="00B04B10"/>
    <w:rsid w:val="00B130C7"/>
    <w:rsid w:val="00B26692"/>
    <w:rsid w:val="00B42B8B"/>
    <w:rsid w:val="00B46CCB"/>
    <w:rsid w:val="00B500FD"/>
    <w:rsid w:val="00B52579"/>
    <w:rsid w:val="00B534F8"/>
    <w:rsid w:val="00B5614C"/>
    <w:rsid w:val="00B5635A"/>
    <w:rsid w:val="00B5722A"/>
    <w:rsid w:val="00B65657"/>
    <w:rsid w:val="00B705DD"/>
    <w:rsid w:val="00B76F8E"/>
    <w:rsid w:val="00B87D5B"/>
    <w:rsid w:val="00B93F34"/>
    <w:rsid w:val="00BA3C58"/>
    <w:rsid w:val="00BB0EEB"/>
    <w:rsid w:val="00BB30A3"/>
    <w:rsid w:val="00BB4B0B"/>
    <w:rsid w:val="00BB7E1F"/>
    <w:rsid w:val="00BC0F3F"/>
    <w:rsid w:val="00BD0C2F"/>
    <w:rsid w:val="00BD2FB9"/>
    <w:rsid w:val="00BE4B93"/>
    <w:rsid w:val="00BE6D86"/>
    <w:rsid w:val="00C12896"/>
    <w:rsid w:val="00C12C86"/>
    <w:rsid w:val="00C27E5A"/>
    <w:rsid w:val="00C30C27"/>
    <w:rsid w:val="00C40D15"/>
    <w:rsid w:val="00C42896"/>
    <w:rsid w:val="00C477CD"/>
    <w:rsid w:val="00C54F03"/>
    <w:rsid w:val="00C57B48"/>
    <w:rsid w:val="00C6274B"/>
    <w:rsid w:val="00C6294B"/>
    <w:rsid w:val="00C66F61"/>
    <w:rsid w:val="00C70506"/>
    <w:rsid w:val="00C71E66"/>
    <w:rsid w:val="00C8252D"/>
    <w:rsid w:val="00C832C8"/>
    <w:rsid w:val="00C85ECA"/>
    <w:rsid w:val="00C86718"/>
    <w:rsid w:val="00CA3BA8"/>
    <w:rsid w:val="00CA4A29"/>
    <w:rsid w:val="00CC2912"/>
    <w:rsid w:val="00CD23D7"/>
    <w:rsid w:val="00CE68A7"/>
    <w:rsid w:val="00CF1A8E"/>
    <w:rsid w:val="00D029DA"/>
    <w:rsid w:val="00D11DA7"/>
    <w:rsid w:val="00D1243E"/>
    <w:rsid w:val="00D12A44"/>
    <w:rsid w:val="00D13647"/>
    <w:rsid w:val="00D24209"/>
    <w:rsid w:val="00D249F7"/>
    <w:rsid w:val="00D27CF8"/>
    <w:rsid w:val="00D30151"/>
    <w:rsid w:val="00D31162"/>
    <w:rsid w:val="00D31D08"/>
    <w:rsid w:val="00D33B9B"/>
    <w:rsid w:val="00D3647F"/>
    <w:rsid w:val="00D41364"/>
    <w:rsid w:val="00D41BB6"/>
    <w:rsid w:val="00D46103"/>
    <w:rsid w:val="00D53275"/>
    <w:rsid w:val="00D60413"/>
    <w:rsid w:val="00D62022"/>
    <w:rsid w:val="00D67F15"/>
    <w:rsid w:val="00D75C02"/>
    <w:rsid w:val="00D80A55"/>
    <w:rsid w:val="00D8668E"/>
    <w:rsid w:val="00D8693F"/>
    <w:rsid w:val="00D9350A"/>
    <w:rsid w:val="00DA0539"/>
    <w:rsid w:val="00DB2B2D"/>
    <w:rsid w:val="00DB61F8"/>
    <w:rsid w:val="00DD3383"/>
    <w:rsid w:val="00DD48A6"/>
    <w:rsid w:val="00DD6845"/>
    <w:rsid w:val="00DD72EC"/>
    <w:rsid w:val="00DE1025"/>
    <w:rsid w:val="00DE38E3"/>
    <w:rsid w:val="00E00A7C"/>
    <w:rsid w:val="00E326B6"/>
    <w:rsid w:val="00E341CE"/>
    <w:rsid w:val="00E374B3"/>
    <w:rsid w:val="00E37883"/>
    <w:rsid w:val="00E42914"/>
    <w:rsid w:val="00E42C40"/>
    <w:rsid w:val="00E43C16"/>
    <w:rsid w:val="00E43C61"/>
    <w:rsid w:val="00E46F25"/>
    <w:rsid w:val="00E51999"/>
    <w:rsid w:val="00E52F6A"/>
    <w:rsid w:val="00E53C33"/>
    <w:rsid w:val="00E62CED"/>
    <w:rsid w:val="00E9455A"/>
    <w:rsid w:val="00EA09D0"/>
    <w:rsid w:val="00EA754E"/>
    <w:rsid w:val="00EB69B4"/>
    <w:rsid w:val="00EB7A16"/>
    <w:rsid w:val="00EC1A74"/>
    <w:rsid w:val="00EC544D"/>
    <w:rsid w:val="00EC7AC1"/>
    <w:rsid w:val="00ED02C9"/>
    <w:rsid w:val="00ED1AE1"/>
    <w:rsid w:val="00ED370D"/>
    <w:rsid w:val="00ED3E11"/>
    <w:rsid w:val="00ED6119"/>
    <w:rsid w:val="00EE6376"/>
    <w:rsid w:val="00EF1EAB"/>
    <w:rsid w:val="00F053FF"/>
    <w:rsid w:val="00F06A7C"/>
    <w:rsid w:val="00F1441A"/>
    <w:rsid w:val="00F14815"/>
    <w:rsid w:val="00F177B8"/>
    <w:rsid w:val="00F17BAD"/>
    <w:rsid w:val="00F212D9"/>
    <w:rsid w:val="00F23A4D"/>
    <w:rsid w:val="00F2597F"/>
    <w:rsid w:val="00F553F1"/>
    <w:rsid w:val="00F57202"/>
    <w:rsid w:val="00F6201F"/>
    <w:rsid w:val="00F65C63"/>
    <w:rsid w:val="00F737C7"/>
    <w:rsid w:val="00F87730"/>
    <w:rsid w:val="00F9082E"/>
    <w:rsid w:val="00FA3A57"/>
    <w:rsid w:val="00FB0F01"/>
    <w:rsid w:val="00FB6668"/>
    <w:rsid w:val="00FC04CF"/>
    <w:rsid w:val="00FC097C"/>
    <w:rsid w:val="00FC5ADD"/>
    <w:rsid w:val="00FD2600"/>
    <w:rsid w:val="00FE36EC"/>
    <w:rsid w:val="00FF2C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B10AEB-A8D2-426B-89F0-FBDD1D0E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A7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F22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8C58C1"/>
    <w:rPr>
      <w:color w:val="0000FF"/>
      <w:u w:val="single"/>
    </w:rPr>
  </w:style>
  <w:style w:type="character" w:customStyle="1" w:styleId="LinkdaInternet">
    <w:name w:val="Link da Internet"/>
    <w:rsid w:val="008C58C1"/>
    <w:rPr>
      <w:rFonts w:cs="Times New Roman"/>
      <w:color w:val="0000FF"/>
      <w:u w:val="single"/>
    </w:rPr>
  </w:style>
  <w:style w:type="character" w:customStyle="1" w:styleId="apple-converted-space">
    <w:name w:val="apple-converted-space"/>
    <w:basedOn w:val="Fontepargpadro"/>
    <w:rsid w:val="008C58C1"/>
  </w:style>
  <w:style w:type="character" w:styleId="Forte">
    <w:name w:val="Strong"/>
    <w:uiPriority w:val="22"/>
    <w:qFormat/>
    <w:rsid w:val="008C58C1"/>
    <w:rPr>
      <w:b/>
      <w:bCs/>
    </w:rPr>
  </w:style>
  <w:style w:type="paragraph" w:styleId="NormalWeb">
    <w:name w:val="Normal (Web)"/>
    <w:basedOn w:val="Normal"/>
    <w:uiPriority w:val="99"/>
    <w:unhideWhenUsed/>
    <w:rsid w:val="00E43C61"/>
    <w:pPr>
      <w:spacing w:before="100" w:beforeAutospacing="1" w:after="100" w:afterAutospacing="1"/>
    </w:pPr>
  </w:style>
  <w:style w:type="paragraph" w:styleId="PargrafodaLista">
    <w:name w:val="List Paragraph"/>
    <w:basedOn w:val="Normal"/>
    <w:uiPriority w:val="34"/>
    <w:qFormat/>
    <w:rsid w:val="00E43C61"/>
    <w:pPr>
      <w:ind w:left="720"/>
      <w:contextualSpacing/>
    </w:pPr>
  </w:style>
  <w:style w:type="paragraph" w:styleId="Cabealho">
    <w:name w:val="header"/>
    <w:aliases w:val="Cabeçalho1"/>
    <w:basedOn w:val="Normal"/>
    <w:link w:val="CabealhoChar"/>
    <w:uiPriority w:val="99"/>
    <w:unhideWhenUsed/>
    <w:rsid w:val="004A05E0"/>
    <w:pPr>
      <w:tabs>
        <w:tab w:val="center" w:pos="4252"/>
        <w:tab w:val="right" w:pos="8504"/>
      </w:tabs>
    </w:pPr>
  </w:style>
  <w:style w:type="character" w:customStyle="1" w:styleId="CabealhoChar">
    <w:name w:val="Cabeçalho Char"/>
    <w:aliases w:val="Cabeçalho1 Char1"/>
    <w:basedOn w:val="Fontepargpadro"/>
    <w:link w:val="Cabealho"/>
    <w:uiPriority w:val="99"/>
    <w:rsid w:val="004A05E0"/>
    <w:rPr>
      <w:rFonts w:ascii="Times New Roman" w:eastAsia="Times New Roman" w:hAnsi="Times New Roman" w:cs="Times New Roman"/>
      <w:sz w:val="24"/>
      <w:szCs w:val="24"/>
      <w:lang w:eastAsia="pt-BR"/>
    </w:rPr>
  </w:style>
  <w:style w:type="paragraph" w:styleId="Rodap">
    <w:name w:val="footer"/>
    <w:basedOn w:val="Normal"/>
    <w:link w:val="RodapChar"/>
    <w:unhideWhenUsed/>
    <w:rsid w:val="004A05E0"/>
    <w:pPr>
      <w:tabs>
        <w:tab w:val="center" w:pos="4252"/>
        <w:tab w:val="right" w:pos="8504"/>
      </w:tabs>
    </w:pPr>
  </w:style>
  <w:style w:type="character" w:customStyle="1" w:styleId="RodapChar">
    <w:name w:val="Rodapé Char"/>
    <w:basedOn w:val="Fontepargpadro"/>
    <w:link w:val="Rodap"/>
    <w:rsid w:val="004A05E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A05E0"/>
    <w:rPr>
      <w:rFonts w:ascii="Tahoma" w:hAnsi="Tahoma" w:cs="Tahoma"/>
      <w:sz w:val="16"/>
      <w:szCs w:val="16"/>
    </w:rPr>
  </w:style>
  <w:style w:type="character" w:customStyle="1" w:styleId="TextodebaloChar">
    <w:name w:val="Texto de balão Char"/>
    <w:basedOn w:val="Fontepargpadro"/>
    <w:link w:val="Textodebalo"/>
    <w:uiPriority w:val="99"/>
    <w:semiHidden/>
    <w:rsid w:val="004A05E0"/>
    <w:rPr>
      <w:rFonts w:ascii="Tahoma" w:eastAsia="Times New Roman" w:hAnsi="Tahoma" w:cs="Tahoma"/>
      <w:sz w:val="16"/>
      <w:szCs w:val="16"/>
      <w:lang w:eastAsia="pt-BR"/>
    </w:rPr>
  </w:style>
  <w:style w:type="character" w:customStyle="1" w:styleId="CabealhoChar1">
    <w:name w:val="Cabeçalho Char1"/>
    <w:aliases w:val="Cabeçalho1 Char"/>
    <w:rsid w:val="00841AB7"/>
    <w:rPr>
      <w:rFonts w:ascii="Calibri" w:hAnsi="Calibri"/>
      <w:kern w:val="1"/>
      <w:lang w:eastAsia="ar-SA" w:bidi="ar-SA"/>
    </w:rPr>
  </w:style>
  <w:style w:type="character" w:customStyle="1" w:styleId="RodapChar1">
    <w:name w:val="Rodapé Char1"/>
    <w:rsid w:val="00841AB7"/>
    <w:rPr>
      <w:rFonts w:ascii="Calibri" w:hAnsi="Calibri"/>
      <w:kern w:val="1"/>
      <w:lang w:eastAsia="ar-SA" w:bidi="ar-SA"/>
    </w:rPr>
  </w:style>
  <w:style w:type="character" w:styleId="Nmerodepgina">
    <w:name w:val="page number"/>
    <w:unhideWhenUsed/>
    <w:rsid w:val="00841AB7"/>
  </w:style>
  <w:style w:type="character" w:customStyle="1" w:styleId="Ttulo1Char">
    <w:name w:val="Título 1 Char"/>
    <w:basedOn w:val="Fontepargpadro"/>
    <w:link w:val="Ttulo1"/>
    <w:uiPriority w:val="9"/>
    <w:rsid w:val="005F22DF"/>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3A6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9C32D4"/>
    <w:rPr>
      <w:sz w:val="16"/>
      <w:szCs w:val="16"/>
    </w:rPr>
  </w:style>
  <w:style w:type="paragraph" w:styleId="Textodecomentrio">
    <w:name w:val="annotation text"/>
    <w:basedOn w:val="Normal"/>
    <w:link w:val="TextodecomentrioChar"/>
    <w:uiPriority w:val="99"/>
    <w:semiHidden/>
    <w:unhideWhenUsed/>
    <w:rsid w:val="009C32D4"/>
    <w:rPr>
      <w:sz w:val="20"/>
      <w:szCs w:val="20"/>
    </w:rPr>
  </w:style>
  <w:style w:type="character" w:customStyle="1" w:styleId="TextodecomentrioChar">
    <w:name w:val="Texto de comentário Char"/>
    <w:basedOn w:val="Fontepargpadro"/>
    <w:link w:val="Textodecomentrio"/>
    <w:uiPriority w:val="99"/>
    <w:semiHidden/>
    <w:rsid w:val="009C32D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C32D4"/>
    <w:rPr>
      <w:b/>
      <w:bCs/>
    </w:rPr>
  </w:style>
  <w:style w:type="character" w:customStyle="1" w:styleId="AssuntodocomentrioChar">
    <w:name w:val="Assunto do comentário Char"/>
    <w:basedOn w:val="TextodecomentrioChar"/>
    <w:link w:val="Assuntodocomentrio"/>
    <w:uiPriority w:val="99"/>
    <w:semiHidden/>
    <w:rsid w:val="009C32D4"/>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21175">
      <w:bodyDiv w:val="1"/>
      <w:marLeft w:val="0"/>
      <w:marRight w:val="0"/>
      <w:marTop w:val="0"/>
      <w:marBottom w:val="0"/>
      <w:divBdr>
        <w:top w:val="none" w:sz="0" w:space="0" w:color="auto"/>
        <w:left w:val="none" w:sz="0" w:space="0" w:color="auto"/>
        <w:bottom w:val="none" w:sz="0" w:space="0" w:color="auto"/>
        <w:right w:val="none" w:sz="0" w:space="0" w:color="auto"/>
      </w:divBdr>
    </w:div>
    <w:div w:id="591740767">
      <w:bodyDiv w:val="1"/>
      <w:marLeft w:val="0"/>
      <w:marRight w:val="0"/>
      <w:marTop w:val="0"/>
      <w:marBottom w:val="0"/>
      <w:divBdr>
        <w:top w:val="none" w:sz="0" w:space="0" w:color="auto"/>
        <w:left w:val="none" w:sz="0" w:space="0" w:color="auto"/>
        <w:bottom w:val="none" w:sz="0" w:space="0" w:color="auto"/>
        <w:right w:val="none" w:sz="0" w:space="0" w:color="auto"/>
      </w:divBdr>
    </w:div>
    <w:div w:id="754742837">
      <w:bodyDiv w:val="1"/>
      <w:marLeft w:val="0"/>
      <w:marRight w:val="0"/>
      <w:marTop w:val="0"/>
      <w:marBottom w:val="0"/>
      <w:divBdr>
        <w:top w:val="none" w:sz="0" w:space="0" w:color="auto"/>
        <w:left w:val="none" w:sz="0" w:space="0" w:color="auto"/>
        <w:bottom w:val="none" w:sz="0" w:space="0" w:color="auto"/>
        <w:right w:val="none" w:sz="0" w:space="0" w:color="auto"/>
      </w:divBdr>
    </w:div>
    <w:div w:id="791021637">
      <w:bodyDiv w:val="1"/>
      <w:marLeft w:val="0"/>
      <w:marRight w:val="0"/>
      <w:marTop w:val="0"/>
      <w:marBottom w:val="0"/>
      <w:divBdr>
        <w:top w:val="none" w:sz="0" w:space="0" w:color="auto"/>
        <w:left w:val="none" w:sz="0" w:space="0" w:color="auto"/>
        <w:bottom w:val="none" w:sz="0" w:space="0" w:color="auto"/>
        <w:right w:val="none" w:sz="0" w:space="0" w:color="auto"/>
      </w:divBdr>
    </w:div>
    <w:div w:id="1258710795">
      <w:bodyDiv w:val="1"/>
      <w:marLeft w:val="0"/>
      <w:marRight w:val="0"/>
      <w:marTop w:val="0"/>
      <w:marBottom w:val="0"/>
      <w:divBdr>
        <w:top w:val="none" w:sz="0" w:space="0" w:color="auto"/>
        <w:left w:val="none" w:sz="0" w:space="0" w:color="auto"/>
        <w:bottom w:val="none" w:sz="0" w:space="0" w:color="auto"/>
        <w:right w:val="none" w:sz="0" w:space="0" w:color="auto"/>
      </w:divBdr>
    </w:div>
    <w:div w:id="1288051722">
      <w:bodyDiv w:val="1"/>
      <w:marLeft w:val="0"/>
      <w:marRight w:val="0"/>
      <w:marTop w:val="0"/>
      <w:marBottom w:val="0"/>
      <w:divBdr>
        <w:top w:val="none" w:sz="0" w:space="0" w:color="auto"/>
        <w:left w:val="none" w:sz="0" w:space="0" w:color="auto"/>
        <w:bottom w:val="none" w:sz="0" w:space="0" w:color="auto"/>
        <w:right w:val="none" w:sz="0" w:space="0" w:color="auto"/>
      </w:divBdr>
    </w:div>
    <w:div w:id="1428765945">
      <w:bodyDiv w:val="1"/>
      <w:marLeft w:val="0"/>
      <w:marRight w:val="0"/>
      <w:marTop w:val="0"/>
      <w:marBottom w:val="0"/>
      <w:divBdr>
        <w:top w:val="none" w:sz="0" w:space="0" w:color="auto"/>
        <w:left w:val="none" w:sz="0" w:space="0" w:color="auto"/>
        <w:bottom w:val="none" w:sz="0" w:space="0" w:color="auto"/>
        <w:right w:val="none" w:sz="0" w:space="0" w:color="auto"/>
      </w:divBdr>
    </w:div>
    <w:div w:id="1570574968">
      <w:bodyDiv w:val="1"/>
      <w:marLeft w:val="0"/>
      <w:marRight w:val="0"/>
      <w:marTop w:val="0"/>
      <w:marBottom w:val="0"/>
      <w:divBdr>
        <w:top w:val="none" w:sz="0" w:space="0" w:color="auto"/>
        <w:left w:val="none" w:sz="0" w:space="0" w:color="auto"/>
        <w:bottom w:val="none" w:sz="0" w:space="0" w:color="auto"/>
        <w:right w:val="none" w:sz="0" w:space="0" w:color="auto"/>
      </w:divBdr>
    </w:div>
    <w:div w:id="1768042505">
      <w:bodyDiv w:val="1"/>
      <w:marLeft w:val="0"/>
      <w:marRight w:val="0"/>
      <w:marTop w:val="0"/>
      <w:marBottom w:val="0"/>
      <w:divBdr>
        <w:top w:val="none" w:sz="0" w:space="0" w:color="auto"/>
        <w:left w:val="none" w:sz="0" w:space="0" w:color="auto"/>
        <w:bottom w:val="none" w:sz="0" w:space="0" w:color="auto"/>
        <w:right w:val="none" w:sz="0" w:space="0" w:color="auto"/>
      </w:divBdr>
    </w:div>
    <w:div w:id="2100372832">
      <w:bodyDiv w:val="1"/>
      <w:marLeft w:val="0"/>
      <w:marRight w:val="0"/>
      <w:marTop w:val="0"/>
      <w:marBottom w:val="0"/>
      <w:divBdr>
        <w:top w:val="none" w:sz="0" w:space="0" w:color="auto"/>
        <w:left w:val="none" w:sz="0" w:space="0" w:color="auto"/>
        <w:bottom w:val="none" w:sz="0" w:space="0" w:color="auto"/>
        <w:right w:val="none" w:sz="0" w:space="0" w:color="auto"/>
      </w:divBdr>
    </w:div>
    <w:div w:id="21212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0166-86F4-4A49-9615-8F49AF22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22</Pages>
  <Words>5228</Words>
  <Characters>28237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33399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 roberto masiero de andrade</dc:creator>
  <cp:lastModifiedBy>Ricardo Miranda</cp:lastModifiedBy>
  <cp:revision>25</cp:revision>
  <dcterms:created xsi:type="dcterms:W3CDTF">2018-06-19T14:02:00Z</dcterms:created>
  <dcterms:modified xsi:type="dcterms:W3CDTF">2018-06-23T02:56:00Z</dcterms:modified>
</cp:coreProperties>
</file>