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E6" w:rsidRPr="002871D1" w:rsidRDefault="00750CE6" w:rsidP="00750CE6">
      <w:pPr>
        <w:spacing w:after="0" w:line="360" w:lineRule="auto"/>
        <w:jc w:val="both"/>
        <w:rPr>
          <w:b/>
          <w:szCs w:val="24"/>
        </w:rPr>
      </w:pPr>
      <w:r w:rsidRPr="002871D1">
        <w:rPr>
          <w:b/>
          <w:szCs w:val="24"/>
        </w:rPr>
        <w:t xml:space="preserve">Consumo de alimentos processados e </w:t>
      </w:r>
      <w:proofErr w:type="spellStart"/>
      <w:r w:rsidRPr="002871D1">
        <w:rPr>
          <w:b/>
          <w:szCs w:val="24"/>
        </w:rPr>
        <w:t>ultraprocessados</w:t>
      </w:r>
      <w:proofErr w:type="spellEnd"/>
      <w:r w:rsidRPr="002871D1">
        <w:rPr>
          <w:b/>
          <w:szCs w:val="24"/>
        </w:rPr>
        <w:t xml:space="preserve"> em indivíduos adultos com excesso de peso</w:t>
      </w:r>
    </w:p>
    <w:p w:rsidR="00750CE6" w:rsidRPr="002871D1" w:rsidRDefault="00750CE6" w:rsidP="00750CE6">
      <w:pPr>
        <w:spacing w:after="0" w:line="360" w:lineRule="auto"/>
        <w:jc w:val="both"/>
        <w:rPr>
          <w:b/>
          <w:szCs w:val="24"/>
        </w:rPr>
      </w:pPr>
    </w:p>
    <w:p w:rsidR="00750CE6" w:rsidRPr="002871D1" w:rsidRDefault="00750CE6" w:rsidP="00750CE6">
      <w:pPr>
        <w:spacing w:after="0" w:line="360" w:lineRule="auto"/>
        <w:jc w:val="both"/>
        <w:rPr>
          <w:b/>
          <w:szCs w:val="24"/>
        </w:rPr>
      </w:pPr>
    </w:p>
    <w:p w:rsidR="00750CE6" w:rsidRPr="005F66CD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b/>
          <w:szCs w:val="24"/>
          <w:lang w:val="en-US" w:eastAsia="pt-BR"/>
        </w:rPr>
      </w:pPr>
      <w:r w:rsidRPr="005F66CD">
        <w:rPr>
          <w:rFonts w:eastAsia="Times New Roman"/>
          <w:b/>
          <w:szCs w:val="24"/>
          <w:lang w:val="en-US" w:eastAsia="pt-BR"/>
        </w:rPr>
        <w:t>Consumption of processed and ultra-processed foods in overweight adult subjects</w:t>
      </w:r>
    </w:p>
    <w:p w:rsidR="00750CE6" w:rsidRPr="005F66CD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Pr="005F66CD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Pr="00750CE6" w:rsidRDefault="00750CE6" w:rsidP="00750C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Cs w:val="24"/>
          <w:lang w:val="en-US" w:eastAsia="pt-BR"/>
        </w:rPr>
      </w:pPr>
    </w:p>
    <w:p w:rsidR="00750CE6" w:rsidRPr="005F66CD" w:rsidRDefault="00750CE6" w:rsidP="00424A65">
      <w:pPr>
        <w:spacing w:after="0" w:line="480" w:lineRule="auto"/>
        <w:jc w:val="both"/>
        <w:rPr>
          <w:lang w:val="en-US"/>
        </w:rPr>
      </w:pPr>
    </w:p>
    <w:p w:rsidR="00750CE6" w:rsidRPr="005F66CD" w:rsidRDefault="00750CE6" w:rsidP="00424A65">
      <w:pPr>
        <w:spacing w:after="0" w:line="480" w:lineRule="auto"/>
        <w:jc w:val="both"/>
        <w:rPr>
          <w:lang w:val="en-US"/>
        </w:rPr>
      </w:pPr>
    </w:p>
    <w:p w:rsidR="00764CE8" w:rsidRPr="005F66CD" w:rsidRDefault="00764CE8" w:rsidP="00424A65">
      <w:pPr>
        <w:spacing w:after="0" w:line="480" w:lineRule="auto"/>
        <w:jc w:val="both"/>
        <w:rPr>
          <w:lang w:val="en-US"/>
        </w:rPr>
      </w:pPr>
    </w:p>
    <w:p w:rsidR="00764CE8" w:rsidRPr="005F66CD" w:rsidRDefault="00764CE8" w:rsidP="00424A65">
      <w:pPr>
        <w:spacing w:after="0" w:line="480" w:lineRule="auto"/>
        <w:jc w:val="both"/>
        <w:rPr>
          <w:lang w:val="en-US"/>
        </w:rPr>
      </w:pPr>
    </w:p>
    <w:p w:rsidR="009947C6" w:rsidRPr="00E8625E" w:rsidRDefault="009947C6" w:rsidP="00424A65">
      <w:pPr>
        <w:spacing w:after="0" w:line="480" w:lineRule="auto"/>
        <w:jc w:val="both"/>
      </w:pPr>
      <w:r w:rsidRPr="00E8625E">
        <w:lastRenderedPageBreak/>
        <w:t xml:space="preserve">RESUMO 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</w:p>
    <w:p w:rsidR="009947C6" w:rsidRDefault="00BC2448" w:rsidP="002C1FFD">
      <w:pPr>
        <w:spacing w:after="0" w:line="480" w:lineRule="auto"/>
        <w:jc w:val="both"/>
      </w:pPr>
      <w:r>
        <w:t>A</w:t>
      </w:r>
      <w:r w:rsidR="009947C6">
        <w:t>valiar</w:t>
      </w:r>
      <w:r w:rsidR="009947C6" w:rsidRPr="00E8625E">
        <w:t xml:space="preserve"> </w:t>
      </w:r>
      <w:r w:rsidR="003E7591">
        <w:t>a</w:t>
      </w:r>
      <w:r w:rsidR="009947C6">
        <w:t xml:space="preserve"> contribuição dos alimentos processados e </w:t>
      </w:r>
      <w:proofErr w:type="spellStart"/>
      <w:r w:rsidR="009947C6">
        <w:t>ultraprocessados</w:t>
      </w:r>
      <w:proofErr w:type="spellEnd"/>
      <w:r w:rsidR="009947C6">
        <w:t xml:space="preserve"> na ingestão de</w:t>
      </w:r>
      <w:r w:rsidR="009947C6" w:rsidRPr="00E8625E">
        <w:t xml:space="preserve"> </w:t>
      </w:r>
      <w:proofErr w:type="spellStart"/>
      <w:r w:rsidR="009947C6" w:rsidRPr="00E8625E">
        <w:t>macronutrientes</w:t>
      </w:r>
      <w:proofErr w:type="spellEnd"/>
      <w:r w:rsidR="009947C6">
        <w:t xml:space="preserve"> e fibras </w:t>
      </w:r>
      <w:r w:rsidR="009947C6" w:rsidRPr="00E8625E">
        <w:t>em indivíduos adultos com excesso de peso.</w:t>
      </w:r>
      <w:r>
        <w:t xml:space="preserve"> </w:t>
      </w:r>
      <w:r w:rsidR="009947C6" w:rsidRPr="00E8625E">
        <w:t>Trata-se de estudo transversal</w:t>
      </w:r>
      <w:r w:rsidR="003E7591">
        <w:t xml:space="preserve">. Aonde </w:t>
      </w:r>
      <w:proofErr w:type="gramStart"/>
      <w:r w:rsidR="003E7591">
        <w:t>u</w:t>
      </w:r>
      <w:r w:rsidR="009947C6">
        <w:t>tilizou-se</w:t>
      </w:r>
      <w:proofErr w:type="gramEnd"/>
      <w:r w:rsidR="009947C6" w:rsidRPr="00E8625E">
        <w:t xml:space="preserve"> questionário quantitativo de frequência alimentar</w:t>
      </w:r>
      <w:r w:rsidR="009A1044">
        <w:t xml:space="preserve"> para avaliar </w:t>
      </w:r>
      <w:r w:rsidR="009947C6">
        <w:t xml:space="preserve"> consumo alimentar</w:t>
      </w:r>
      <w:r w:rsidR="009947C6" w:rsidRPr="00E8625E">
        <w:t xml:space="preserve">. Os alimentos consumidos foram classificados em três grupos: </w:t>
      </w:r>
      <w:proofErr w:type="gramStart"/>
      <w:r w:rsidR="009947C6" w:rsidRPr="00E8625E">
        <w:t>1</w:t>
      </w:r>
      <w:proofErr w:type="gramEnd"/>
      <w:r w:rsidR="009947C6" w:rsidRPr="00E8625E">
        <w:t xml:space="preserve"> (G1) - alimentos </w:t>
      </w:r>
      <w:r w:rsidR="009947C6" w:rsidRPr="00E8625E">
        <w:rPr>
          <w:i/>
        </w:rPr>
        <w:t>in natura</w:t>
      </w:r>
      <w:r w:rsidR="009947C6" w:rsidRPr="00E8625E">
        <w:t xml:space="preserve"> ou minimamente processados; 2 (G2) - alimentos processados e ingredientes cu</w:t>
      </w:r>
      <w:r w:rsidR="003E7591">
        <w:t>linários</w:t>
      </w:r>
      <w:r w:rsidR="009947C6" w:rsidRPr="00E8625E">
        <w:t xml:space="preserve"> e 3 (G3) - alimentos </w:t>
      </w:r>
      <w:proofErr w:type="spellStart"/>
      <w:r w:rsidR="009947C6" w:rsidRPr="00E8625E">
        <w:t>ultraprocessados</w:t>
      </w:r>
      <w:proofErr w:type="spellEnd"/>
      <w:r w:rsidR="009947C6" w:rsidRPr="00E8625E">
        <w:t xml:space="preserve">. </w:t>
      </w:r>
      <w:r w:rsidR="00110359" w:rsidRPr="00E8625E">
        <w:t>Realizaram-se</w:t>
      </w:r>
      <w:r w:rsidR="009947C6" w:rsidRPr="00E8625E">
        <w:t xml:space="preserve"> estimativa do consumo </w:t>
      </w:r>
      <w:r w:rsidR="009947C6">
        <w:t>energético</w:t>
      </w:r>
      <w:r w:rsidR="009947C6" w:rsidRPr="00E8625E">
        <w:t xml:space="preserve">, </w:t>
      </w:r>
      <w:proofErr w:type="spellStart"/>
      <w:r w:rsidR="009947C6" w:rsidRPr="00E8625E">
        <w:t>macronut</w:t>
      </w:r>
      <w:r w:rsidR="00110359">
        <w:t>rientes</w:t>
      </w:r>
      <w:proofErr w:type="spellEnd"/>
      <w:r w:rsidR="00110359">
        <w:t xml:space="preserve"> e fibras</w:t>
      </w:r>
      <w:r w:rsidR="003E7591">
        <w:t>.</w:t>
      </w:r>
      <w:r w:rsidR="009947C6" w:rsidRPr="00E8625E">
        <w:t xml:space="preserve"> </w:t>
      </w:r>
      <w:r w:rsidR="009A1044">
        <w:t>Foram avaliados</w:t>
      </w:r>
      <w:r w:rsidR="009947C6" w:rsidRPr="00E8625E">
        <w:t xml:space="preserve"> 93 participantes, </w:t>
      </w:r>
      <w:r w:rsidR="009947C6">
        <w:t>sendo</w:t>
      </w:r>
      <w:r w:rsidR="009947C6" w:rsidRPr="00E8625E">
        <w:t xml:space="preserve"> 72</w:t>
      </w:r>
      <w:r w:rsidR="009A1044">
        <w:t xml:space="preserve">,0% do </w:t>
      </w:r>
      <w:r w:rsidR="002C07D2">
        <w:t>sexo feminino e</w:t>
      </w:r>
      <w:r w:rsidR="003E7591">
        <w:t xml:space="preserve"> a maioria</w:t>
      </w:r>
      <w:r w:rsidR="009947C6" w:rsidRPr="00E8625E">
        <w:t xml:space="preserve"> apresentava obesidade</w:t>
      </w:r>
      <w:r w:rsidR="009947C6">
        <w:t xml:space="preserve"> e</w:t>
      </w:r>
      <w:r w:rsidR="009947C6" w:rsidRPr="00B01D0B">
        <w:t xml:space="preserve"> </w:t>
      </w:r>
      <w:r w:rsidR="003E7591">
        <w:t>hipertensão arterial</w:t>
      </w:r>
      <w:r w:rsidR="009947C6" w:rsidRPr="00E8625E">
        <w:t xml:space="preserve">. </w:t>
      </w:r>
      <w:r w:rsidR="009947C6">
        <w:t>O</w:t>
      </w:r>
      <w:r w:rsidR="009947C6" w:rsidRPr="00E8625E">
        <w:t xml:space="preserve"> consumo calórico total foi de 2002,1 calorias, sendo 58,4% de carboidratos, 17,7% de proteínas, 28,1% de lipídeos e 27,6g de fibras.  </w:t>
      </w:r>
      <w:r w:rsidR="009947C6">
        <w:t>Considerando</w:t>
      </w:r>
      <w:r w:rsidR="009947C6" w:rsidRPr="00E8625E">
        <w:t xml:space="preserve"> o grau de processamento dos alimentos, </w:t>
      </w:r>
      <w:r w:rsidR="009947C6">
        <w:t>evidenciamos</w:t>
      </w:r>
      <w:r w:rsidR="009947C6" w:rsidRPr="00E8625E">
        <w:t xml:space="preserve"> consumo de 975,5 calorias, </w:t>
      </w:r>
      <w:r w:rsidR="009947C6">
        <w:t xml:space="preserve">29,4% de </w:t>
      </w:r>
      <w:r w:rsidR="009947C6" w:rsidRPr="00E8625E">
        <w:t>carboidratos</w:t>
      </w:r>
      <w:r w:rsidR="009947C6">
        <w:t>,</w:t>
      </w:r>
      <w:r w:rsidR="009947C6" w:rsidRPr="00E8625E">
        <w:t xml:space="preserve"> </w:t>
      </w:r>
      <w:r w:rsidR="009947C6" w:rsidRPr="00E8625E">
        <w:rPr>
          <w:lang w:eastAsia="pt-BR"/>
        </w:rPr>
        <w:t>11,5%</w:t>
      </w:r>
      <w:r w:rsidR="009947C6">
        <w:t xml:space="preserve"> de</w:t>
      </w:r>
      <w:r w:rsidR="009947C6" w:rsidRPr="00E8625E">
        <w:t xml:space="preserve"> proteínas</w:t>
      </w:r>
      <w:r w:rsidR="009947C6">
        <w:t>,</w:t>
      </w:r>
      <w:r w:rsidR="009947C6" w:rsidRPr="00E8625E">
        <w:t xml:space="preserve"> 10,9% </w:t>
      </w:r>
      <w:r w:rsidR="009947C6">
        <w:t xml:space="preserve">de </w:t>
      </w:r>
      <w:r w:rsidR="009947C6" w:rsidRPr="00E8625E">
        <w:t>lipídeos e 18,6g</w:t>
      </w:r>
      <w:r w:rsidR="009947C6">
        <w:t xml:space="preserve"> de</w:t>
      </w:r>
      <w:r w:rsidR="009947C6" w:rsidRPr="00E8625E">
        <w:t xml:space="preserve"> fibras</w:t>
      </w:r>
      <w:r w:rsidR="009947C6">
        <w:t xml:space="preserve"> para os alimentos G1</w:t>
      </w:r>
      <w:r w:rsidR="009947C6" w:rsidRPr="00E8625E">
        <w:t xml:space="preserve">. Já para os alimentos G2 e G3 </w:t>
      </w:r>
      <w:r w:rsidR="009947C6">
        <w:t>encontrou-se</w:t>
      </w:r>
      <w:r w:rsidR="009947C6" w:rsidRPr="00E8625E">
        <w:t xml:space="preserve"> valores menores de consumo (energia: 442,3 e 491,5 Kcal; carboidratos: </w:t>
      </w:r>
      <w:r w:rsidR="009947C6" w:rsidRPr="00E8625E">
        <w:rPr>
          <w:lang w:eastAsia="pt-BR"/>
        </w:rPr>
        <w:t xml:space="preserve">10,1% e 14,6%; </w:t>
      </w:r>
      <w:r w:rsidR="009947C6" w:rsidRPr="00E8625E">
        <w:t xml:space="preserve">proteínas: </w:t>
      </w:r>
      <w:r w:rsidR="009947C6" w:rsidRPr="00E8625E">
        <w:rPr>
          <w:lang w:eastAsia="pt-BR"/>
        </w:rPr>
        <w:t xml:space="preserve">3,1% e 2,1%; </w:t>
      </w:r>
      <w:r w:rsidR="009947C6" w:rsidRPr="00E8625E">
        <w:t>lipídeos:</w:t>
      </w:r>
      <w:r w:rsidR="009947C6" w:rsidRPr="00E8625E">
        <w:rPr>
          <w:lang w:eastAsia="pt-BR"/>
        </w:rPr>
        <w:t xml:space="preserve"> 8,5% e 6,7%; fibras: 2,0g e 3,1g, respectivamente). Observou-se </w:t>
      </w:r>
      <w:r w:rsidR="009947C6" w:rsidRPr="00E8625E">
        <w:t>maior contri</w:t>
      </w:r>
      <w:r w:rsidR="003E7591">
        <w:t xml:space="preserve">buição percentual no consumo no grupo </w:t>
      </w:r>
      <w:r w:rsidR="009947C6" w:rsidRPr="00E8625E">
        <w:t xml:space="preserve">G1. Entretanto, </w:t>
      </w:r>
      <w:r w:rsidR="009947C6">
        <w:t>considerando-se</w:t>
      </w:r>
      <w:r w:rsidR="009947C6" w:rsidRPr="00E8625E">
        <w:t xml:space="preserve"> o consumo de alimentos G2 e G3</w:t>
      </w:r>
      <w:r w:rsidR="009947C6">
        <w:t xml:space="preserve"> </w:t>
      </w:r>
      <w:r w:rsidR="009947C6" w:rsidRPr="00E8625E">
        <w:t>em conjunto, o percentual de consumo energético</w:t>
      </w:r>
      <w:r w:rsidR="009947C6">
        <w:t xml:space="preserve"> e de carboidrato</w:t>
      </w:r>
      <w:r w:rsidR="009947C6" w:rsidRPr="00E8625E">
        <w:t xml:space="preserve"> se iguala</w:t>
      </w:r>
      <w:r w:rsidR="009947C6">
        <w:t>,</w:t>
      </w:r>
      <w:r w:rsidR="009947C6" w:rsidRPr="00E8625E">
        <w:t xml:space="preserve"> e de lipídeos ultrapassa </w:t>
      </w:r>
      <w:r w:rsidR="009947C6">
        <w:t>o</w:t>
      </w:r>
      <w:r w:rsidR="009947C6" w:rsidRPr="00E8625E">
        <w:t xml:space="preserve"> c</w:t>
      </w:r>
      <w:r>
        <w:t>orrespondente aos alimentos G1.</w:t>
      </w:r>
      <w:r w:rsidR="009947C6" w:rsidRPr="00E8625E">
        <w:t xml:space="preserve"> </w:t>
      </w:r>
      <w:proofErr w:type="gramStart"/>
      <w:r w:rsidR="009947C6" w:rsidRPr="00E8625E">
        <w:t xml:space="preserve">O </w:t>
      </w:r>
      <w:r w:rsidR="003E7591">
        <w:t>consumo desses alimentos</w:t>
      </w:r>
      <w:r w:rsidR="009947C6" w:rsidRPr="00E8625E">
        <w:t xml:space="preserve"> foram</w:t>
      </w:r>
      <w:proofErr w:type="gramEnd"/>
      <w:r w:rsidR="009947C6" w:rsidRPr="00E8625E">
        <w:t xml:space="preserve"> relativamente altos na alimentação dos indivíduos, o que contribui para maior consumo de energia, açúcares e gorduras pouco saudáveis, aliado a baixos teores de fibras. </w:t>
      </w:r>
    </w:p>
    <w:p w:rsidR="003E7591" w:rsidRPr="00E8625E" w:rsidRDefault="003E7591" w:rsidP="002C1FFD">
      <w:pPr>
        <w:spacing w:after="0" w:line="480" w:lineRule="auto"/>
        <w:jc w:val="both"/>
      </w:pPr>
    </w:p>
    <w:p w:rsidR="00110359" w:rsidRDefault="000022DC" w:rsidP="00110359">
      <w:pPr>
        <w:spacing w:after="0" w:line="480" w:lineRule="auto"/>
        <w:jc w:val="both"/>
      </w:pPr>
      <w:r>
        <w:t>DESCRITORES</w:t>
      </w:r>
      <w:r w:rsidR="009947C6" w:rsidRPr="00E8625E">
        <w:t>: Obesidade</w:t>
      </w:r>
      <w:r w:rsidR="00E166D1">
        <w:t>;</w:t>
      </w:r>
      <w:r w:rsidR="009947C6" w:rsidRPr="00E8625E">
        <w:t xml:space="preserve"> </w:t>
      </w:r>
      <w:r w:rsidR="00E166D1">
        <w:t>Consumo de alimentos;</w:t>
      </w:r>
      <w:r w:rsidR="009947C6" w:rsidRPr="00E8625E">
        <w:t xml:space="preserve"> </w:t>
      </w:r>
      <w:r w:rsidR="009947C6">
        <w:t>Alimentos industrializados.</w:t>
      </w:r>
    </w:p>
    <w:p w:rsidR="00BC2448" w:rsidRDefault="00BC2448" w:rsidP="00110359">
      <w:pPr>
        <w:spacing w:after="0" w:line="480" w:lineRule="auto"/>
        <w:jc w:val="both"/>
      </w:pPr>
    </w:p>
    <w:p w:rsidR="009947C6" w:rsidRPr="00110359" w:rsidRDefault="00764CE8" w:rsidP="00110359">
      <w:pPr>
        <w:spacing w:after="0" w:line="480" w:lineRule="auto"/>
        <w:jc w:val="both"/>
      </w:pPr>
      <w:proofErr w:type="gramStart"/>
      <w:r w:rsidRPr="00764CE8">
        <w:rPr>
          <w:b/>
        </w:rPr>
        <w:lastRenderedPageBreak/>
        <w:t>1</w:t>
      </w:r>
      <w:proofErr w:type="gramEnd"/>
      <w:r w:rsidRPr="00764CE8">
        <w:rPr>
          <w:b/>
        </w:rPr>
        <w:t xml:space="preserve"> </w:t>
      </w:r>
      <w:r w:rsidR="009947C6" w:rsidRPr="00764CE8">
        <w:rPr>
          <w:b/>
        </w:rPr>
        <w:t>INTRODUÇÃO</w:t>
      </w:r>
      <w:r w:rsidR="009947C6" w:rsidRPr="00764CE8">
        <w:rPr>
          <w:b/>
        </w:rPr>
        <w:tab/>
      </w:r>
    </w:p>
    <w:p w:rsidR="00E577B7" w:rsidRDefault="00E577B7" w:rsidP="005C2D74">
      <w:pPr>
        <w:spacing w:after="0" w:line="480" w:lineRule="auto"/>
        <w:ind w:firstLine="709"/>
        <w:jc w:val="both"/>
      </w:pPr>
    </w:p>
    <w:p w:rsidR="009947C6" w:rsidRPr="00E8625E" w:rsidRDefault="009947C6" w:rsidP="005C2D74">
      <w:pPr>
        <w:spacing w:after="0" w:line="480" w:lineRule="auto"/>
        <w:ind w:firstLine="709"/>
        <w:jc w:val="both"/>
      </w:pPr>
      <w:r w:rsidRPr="00CD147D">
        <w:t xml:space="preserve">A obesidade é uma doença crônica na qual existe acúmulo excessivo de adiposidade corporal, </w:t>
      </w:r>
      <w:r>
        <w:t>estando associada</w:t>
      </w:r>
      <w:r w:rsidRPr="00CD147D">
        <w:t xml:space="preserve"> </w:t>
      </w:r>
      <w:r>
        <w:t>a</w:t>
      </w:r>
      <w:r w:rsidRPr="00CD147D">
        <w:t xml:space="preserve"> outras doen</w:t>
      </w:r>
      <w:r>
        <w:t xml:space="preserve">ças crônicas não transmissíveis, tais como a </w:t>
      </w:r>
      <w:proofErr w:type="spellStart"/>
      <w:r>
        <w:t>hipertenção</w:t>
      </w:r>
      <w:proofErr w:type="spellEnd"/>
      <w:r>
        <w:t xml:space="preserve"> arterial e outras doenças cardiovasculares, diabetes mellitus tipo II e câncer</w:t>
      </w:r>
      <w:r w:rsidR="00E577B7">
        <w:t xml:space="preserve"> (</w:t>
      </w:r>
      <w:r w:rsidR="00E577B7" w:rsidRPr="005F66CD">
        <w:rPr>
          <w:szCs w:val="24"/>
          <w:lang w:eastAsia="pt-BR"/>
        </w:rPr>
        <w:t>WORLD HEALTH ORGANIZATION</w:t>
      </w:r>
      <w:r w:rsidR="000C6B6A" w:rsidRPr="005F66CD">
        <w:rPr>
          <w:szCs w:val="24"/>
          <w:lang w:eastAsia="pt-BR"/>
        </w:rPr>
        <w:t>- WHO</w:t>
      </w:r>
      <w:r w:rsidR="00E577B7" w:rsidRPr="005F66CD">
        <w:rPr>
          <w:szCs w:val="24"/>
          <w:lang w:eastAsia="pt-BR"/>
        </w:rPr>
        <w:t>, 2004)</w:t>
      </w:r>
      <w:r w:rsidRPr="00CD147D">
        <w:t>.</w:t>
      </w:r>
      <w:r>
        <w:t xml:space="preserve">  Sua </w:t>
      </w:r>
      <w:r w:rsidRPr="00E8625E">
        <w:t>incidência vem crescendo de forma gradativa em todo o mundo</w:t>
      </w:r>
      <w:r>
        <w:t xml:space="preserve">, e espera-se que em </w:t>
      </w:r>
      <w:r w:rsidRPr="00E8625E">
        <w:t>2025, cerca de 2,3 bilhões de adultos estejam com sobrepeso e m</w:t>
      </w:r>
      <w:r w:rsidR="00630F80">
        <w:t xml:space="preserve">ais </w:t>
      </w:r>
      <w:r w:rsidR="00E577B7">
        <w:t>de 700 milhões com obesidade (</w:t>
      </w:r>
      <w:r w:rsidR="00E577B7" w:rsidRPr="00E8625E">
        <w:rPr>
          <w:szCs w:val="24"/>
        </w:rPr>
        <w:t>VIGITEL BRASIL</w:t>
      </w:r>
      <w:r w:rsidR="00E577B7">
        <w:rPr>
          <w:szCs w:val="24"/>
        </w:rPr>
        <w:t>, 2015</w:t>
      </w:r>
      <w:r w:rsidR="00E577B7">
        <w:t>)</w:t>
      </w:r>
      <w:r w:rsidRPr="00E8625E">
        <w:t xml:space="preserve">. </w:t>
      </w:r>
      <w:r>
        <w:t xml:space="preserve"> </w:t>
      </w:r>
      <w:r w:rsidRPr="00E8625E">
        <w:t>No Brasil, no ano de 2014, 52,5% da população apresentavam e</w:t>
      </w:r>
      <w:r w:rsidR="00630F80">
        <w:t>xces</w:t>
      </w:r>
      <w:r w:rsidR="00E577B7">
        <w:t xml:space="preserve">so de peso e 17,9% obesidade (CARLUCCI </w:t>
      </w:r>
      <w:proofErr w:type="gramStart"/>
      <w:r w:rsidR="00E577B7">
        <w:t>et</w:t>
      </w:r>
      <w:proofErr w:type="gramEnd"/>
      <w:r w:rsidR="00E577B7">
        <w:t xml:space="preserve"> al., 2013)</w:t>
      </w:r>
      <w:r w:rsidRPr="00291391">
        <w:t>.</w:t>
      </w:r>
      <w:r>
        <w:rPr>
          <w:vertAlign w:val="superscript"/>
        </w:rPr>
        <w:t xml:space="preserve"> </w:t>
      </w:r>
    </w:p>
    <w:p w:rsidR="009947C6" w:rsidRDefault="009947C6" w:rsidP="00AD4984">
      <w:pPr>
        <w:spacing w:after="0" w:line="480" w:lineRule="auto"/>
        <w:ind w:firstLine="709"/>
        <w:jc w:val="both"/>
      </w:pPr>
      <w:r>
        <w:t>Várias</w:t>
      </w:r>
      <w:r w:rsidRPr="00E8625E">
        <w:t xml:space="preserve"> evidências</w:t>
      </w:r>
      <w:r>
        <w:t xml:space="preserve"> científicas apontam que este cenário está relacionado, dentre outros fatores, principalmente com mudanças nos padrões alimentares, com destaque para </w:t>
      </w:r>
      <w:r w:rsidRPr="00E8625E">
        <w:t>o aumento do consumo de produtos</w:t>
      </w:r>
      <w:r>
        <w:t xml:space="preserve"> e bebidas</w:t>
      </w:r>
      <w:r w:rsidRPr="00E8625E">
        <w:t xml:space="preserve"> altamente processados</w:t>
      </w:r>
      <w:r>
        <w:t xml:space="preserve"> (alimentos </w:t>
      </w:r>
      <w:proofErr w:type="spellStart"/>
      <w:r>
        <w:t>ultraprocessados</w:t>
      </w:r>
      <w:proofErr w:type="spellEnd"/>
      <w:r>
        <w:t>)</w:t>
      </w:r>
      <w:r w:rsidRPr="00E8625E">
        <w:t>, além da frequente substituição das principais refeições por lanches e outros</w:t>
      </w:r>
      <w:r w:rsidR="00630F80">
        <w:t xml:space="preserve"> produ</w:t>
      </w:r>
      <w:r w:rsidR="00E577B7">
        <w:t>tos prontos para o consumo (ORTEGA; LAVIE; BLAIR, 2016</w:t>
      </w:r>
      <w:r w:rsidR="00AD4984">
        <w:t>;</w:t>
      </w:r>
      <w:r w:rsidR="00E577B7">
        <w:t xml:space="preserve"> MENDONÇA</w:t>
      </w:r>
      <w:r w:rsidR="00AD4984">
        <w:t xml:space="preserve"> </w:t>
      </w:r>
      <w:proofErr w:type="gramStart"/>
      <w:r w:rsidR="00AD4984">
        <w:t>et</w:t>
      </w:r>
      <w:proofErr w:type="gramEnd"/>
      <w:r w:rsidR="00AD4984">
        <w:t xml:space="preserve"> al., 2016; LOUZADA et al., 2015a</w:t>
      </w:r>
      <w:r w:rsidR="00E577B7">
        <w:t>)</w:t>
      </w:r>
      <w:r w:rsidRPr="00E8625E">
        <w:rPr>
          <w:lang w:eastAsia="pt-BR"/>
        </w:rPr>
        <w:t xml:space="preserve">. </w:t>
      </w:r>
      <w:r w:rsidRPr="00E8625E">
        <w:t>E</w:t>
      </w:r>
      <w:r>
        <w:t xml:space="preserve">sses alimentos, normalmente, </w:t>
      </w:r>
      <w:r w:rsidRPr="00E8625E">
        <w:t>apresentam alta densidade energética</w:t>
      </w:r>
      <w:r>
        <w:t xml:space="preserve">, excesso </w:t>
      </w:r>
      <w:r w:rsidRPr="00E8625E">
        <w:t>de açúcares, gordura</w:t>
      </w:r>
      <w:r>
        <w:t>s totais e saturadas</w:t>
      </w:r>
      <w:r w:rsidRPr="00E8625E">
        <w:t xml:space="preserve">, </w:t>
      </w:r>
      <w:r>
        <w:t>sódio</w:t>
      </w:r>
      <w:r w:rsidRPr="00E8625E">
        <w:t xml:space="preserve">, </w:t>
      </w:r>
      <w:r w:rsidRPr="00E8625E">
        <w:rPr>
          <w:lang w:eastAsia="pt-BR"/>
        </w:rPr>
        <w:t xml:space="preserve">e </w:t>
      </w:r>
      <w:r>
        <w:rPr>
          <w:lang w:eastAsia="pt-BR"/>
        </w:rPr>
        <w:t>baixo teor</w:t>
      </w:r>
      <w:r w:rsidRPr="00E8625E">
        <w:rPr>
          <w:lang w:eastAsia="pt-BR"/>
        </w:rPr>
        <w:t xml:space="preserve"> de fibras</w:t>
      </w:r>
      <w:r>
        <w:rPr>
          <w:lang w:eastAsia="pt-BR"/>
        </w:rPr>
        <w:t xml:space="preserve"> quando comparados aos alimentos </w:t>
      </w:r>
      <w:r w:rsidRPr="009817E0">
        <w:rPr>
          <w:i/>
          <w:lang w:eastAsia="pt-BR"/>
        </w:rPr>
        <w:t>in natura</w:t>
      </w:r>
      <w:r>
        <w:rPr>
          <w:lang w:eastAsia="pt-BR"/>
        </w:rPr>
        <w:t xml:space="preserve"> ou minimamente processados</w:t>
      </w:r>
      <w:r w:rsidRPr="00E8625E">
        <w:rPr>
          <w:lang w:eastAsia="pt-BR"/>
        </w:rPr>
        <w:t>.</w:t>
      </w:r>
      <w:r w:rsidRPr="00E8625E">
        <w:t xml:space="preserve"> </w:t>
      </w:r>
      <w:r>
        <w:t xml:space="preserve">Além disso, esses alimentos são </w:t>
      </w:r>
      <w:proofErr w:type="spellStart"/>
      <w:r>
        <w:t>hiperpalatáveis</w:t>
      </w:r>
      <w:proofErr w:type="spellEnd"/>
      <w:r>
        <w:t xml:space="preserve">, dispensam preparo e </w:t>
      </w:r>
      <w:proofErr w:type="gramStart"/>
      <w:r>
        <w:t>são</w:t>
      </w:r>
      <w:proofErr w:type="gramEnd"/>
      <w:r>
        <w:t xml:space="preserve"> de fácil transpo</w:t>
      </w:r>
      <w:r w:rsidR="00630F80">
        <w:t xml:space="preserve">rte, </w:t>
      </w:r>
      <w:r w:rsidR="00D10B79">
        <w:t>o que facilita sua ingestão (</w:t>
      </w:r>
      <w:r w:rsidR="00AD4984">
        <w:t>LOUZADA et al., 2015b; BIELEMANN et al., 2015</w:t>
      </w:r>
      <w:r w:rsidR="00D10B79">
        <w:t>; ZOBEL et al., 2016)</w:t>
      </w:r>
      <w:r w:rsidR="00630F80">
        <w:t>.</w:t>
      </w:r>
      <w:r>
        <w:t xml:space="preserve"> 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  <w:r>
        <w:t xml:space="preserve">Há poucos estudos avaliando o consumo de alimentos </w:t>
      </w:r>
      <w:proofErr w:type="spellStart"/>
      <w:r>
        <w:t>ultraprocessados</w:t>
      </w:r>
      <w:proofErr w:type="spellEnd"/>
      <w:r>
        <w:t xml:space="preserve"> em grupos específicos, como indivíduos com excesso de peso. Entretanto, a aquisição domiciliar deste tipo de alimentos tem aumentado nas últimas décadas, e tem sido associada ao ri</w:t>
      </w:r>
      <w:r w:rsidR="00630F80">
        <w:t>sco de o</w:t>
      </w:r>
      <w:r w:rsidR="00D10B79">
        <w:t xml:space="preserve">besidade nos brasileiros (ARES </w:t>
      </w:r>
      <w:proofErr w:type="gramStart"/>
      <w:r w:rsidR="00D10B79">
        <w:t>et</w:t>
      </w:r>
      <w:proofErr w:type="gramEnd"/>
      <w:r w:rsidR="00D10B79">
        <w:t xml:space="preserve"> al., 2016; RICARDO; CLARO, 2012; WORLD HEALTH ORGANIZATION</w:t>
      </w:r>
      <w:r w:rsidR="000C6B6A">
        <w:t xml:space="preserve"> - WHO</w:t>
      </w:r>
      <w:r w:rsidR="00D10B79">
        <w:t>, 1995)</w:t>
      </w:r>
      <w:r>
        <w:t xml:space="preserve">.  Neste contexto, </w:t>
      </w:r>
      <w:r w:rsidRPr="00E8625E">
        <w:t xml:space="preserve">o objetivo </w:t>
      </w:r>
      <w:r>
        <w:t>deste estudo foi avaliar</w:t>
      </w:r>
      <w:r w:rsidRPr="00E8625E">
        <w:t xml:space="preserve"> </w:t>
      </w:r>
      <w:r>
        <w:t xml:space="preserve">a </w:t>
      </w:r>
      <w:r>
        <w:lastRenderedPageBreak/>
        <w:t xml:space="preserve">contribuição dos alimentos processados e </w:t>
      </w:r>
      <w:proofErr w:type="spellStart"/>
      <w:r>
        <w:t>ultraprocessados</w:t>
      </w:r>
      <w:proofErr w:type="spellEnd"/>
      <w:r>
        <w:t xml:space="preserve"> na ingestão de</w:t>
      </w:r>
      <w:r w:rsidRPr="00E8625E">
        <w:t xml:space="preserve"> </w:t>
      </w:r>
      <w:proofErr w:type="spellStart"/>
      <w:r w:rsidRPr="00E8625E">
        <w:t>macronutrientes</w:t>
      </w:r>
      <w:proofErr w:type="spellEnd"/>
      <w:r>
        <w:t xml:space="preserve"> (carboidratos, gorduras e proteínas) e fibras </w:t>
      </w:r>
      <w:r w:rsidRPr="00E8625E">
        <w:t xml:space="preserve">em indivíduos adultos com excesso de peso. </w:t>
      </w:r>
    </w:p>
    <w:p w:rsidR="009947C6" w:rsidRDefault="009947C6" w:rsidP="005C2D74">
      <w:pPr>
        <w:spacing w:after="0" w:line="480" w:lineRule="auto"/>
        <w:ind w:firstLine="709"/>
        <w:jc w:val="both"/>
      </w:pPr>
    </w:p>
    <w:p w:rsidR="00424A65" w:rsidRPr="00E8625E" w:rsidRDefault="00424A65" w:rsidP="001772EA">
      <w:pPr>
        <w:spacing w:after="0" w:line="480" w:lineRule="auto"/>
        <w:jc w:val="both"/>
      </w:pPr>
    </w:p>
    <w:p w:rsidR="009947C6" w:rsidRPr="00764CE8" w:rsidRDefault="00764CE8" w:rsidP="00764CE8">
      <w:pPr>
        <w:spacing w:after="0" w:line="480" w:lineRule="auto"/>
        <w:jc w:val="both"/>
        <w:rPr>
          <w:b/>
        </w:rPr>
      </w:pPr>
      <w:proofErr w:type="gramStart"/>
      <w:r w:rsidRPr="00764CE8">
        <w:rPr>
          <w:b/>
        </w:rPr>
        <w:t>2</w:t>
      </w:r>
      <w:proofErr w:type="gramEnd"/>
      <w:r w:rsidRPr="00764CE8">
        <w:rPr>
          <w:b/>
        </w:rPr>
        <w:t xml:space="preserve"> MATERIAL E MÉTODO</w:t>
      </w:r>
    </w:p>
    <w:p w:rsidR="00764CE8" w:rsidRDefault="00764CE8" w:rsidP="005C2D74">
      <w:pPr>
        <w:spacing w:after="0" w:line="480" w:lineRule="auto"/>
        <w:ind w:firstLine="709"/>
        <w:jc w:val="both"/>
      </w:pPr>
    </w:p>
    <w:p w:rsidR="00764CE8" w:rsidRPr="00E8625E" w:rsidRDefault="00764CE8" w:rsidP="00764CE8">
      <w:pPr>
        <w:spacing w:after="0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2.1 </w:t>
      </w:r>
      <w:r w:rsidRPr="00E8625E">
        <w:rPr>
          <w:b/>
          <w:szCs w:val="24"/>
        </w:rPr>
        <w:t xml:space="preserve">Delineamentos do estudo, população e critérios de </w:t>
      </w:r>
      <w:proofErr w:type="gramStart"/>
      <w:r w:rsidRPr="00E8625E">
        <w:rPr>
          <w:b/>
          <w:szCs w:val="24"/>
        </w:rPr>
        <w:t>elegibilidade</w:t>
      </w:r>
      <w:proofErr w:type="gramEnd"/>
    </w:p>
    <w:p w:rsidR="00764CE8" w:rsidRPr="00CB4758" w:rsidRDefault="00764CE8" w:rsidP="005C2D74">
      <w:pPr>
        <w:spacing w:after="0" w:line="480" w:lineRule="auto"/>
        <w:ind w:firstLine="709"/>
        <w:jc w:val="both"/>
      </w:pPr>
    </w:p>
    <w:p w:rsidR="009947C6" w:rsidRPr="003808DD" w:rsidRDefault="009947C6" w:rsidP="005C2D74">
      <w:pPr>
        <w:spacing w:after="0" w:line="480" w:lineRule="auto"/>
        <w:ind w:firstLine="709"/>
        <w:jc w:val="both"/>
      </w:pPr>
      <w:r w:rsidRPr="003808DD">
        <w:t>O delineamento do estudo foi do tipo transversal, reali</w:t>
      </w:r>
      <w:r w:rsidR="00C47A9B" w:rsidRPr="003808DD">
        <w:t>za</w:t>
      </w:r>
      <w:r w:rsidR="004D4369">
        <w:t>do no período de abril de 2013 a Abril de 2017</w:t>
      </w:r>
      <w:r w:rsidRPr="003808DD">
        <w:t xml:space="preserve">, na cidade de Juiz de Fora, Minas Gerais. Os dados deste estudo são provenientes do projeto de pesquisa com </w:t>
      </w:r>
      <w:proofErr w:type="gramStart"/>
      <w:r w:rsidRPr="003808DD">
        <w:t>interface em extensão intitulado</w:t>
      </w:r>
      <w:proofErr w:type="gramEnd"/>
      <w:r w:rsidRPr="003808DD">
        <w:t xml:space="preserve"> “Saúde na Balança”.  Foram avaliados indivíduos adultos entre 18-60 anos de idade, de ambos os sexos, que apresentavam excesso de peso corporal (Índice de Massa Corporal - IMC ≥ 25 kg/m2) em sua primeira consulta no ambulatório de Nutrição Clínica do Hospital Universitário da Universidade Federal de Juiz de Fora (HU/UFJ</w:t>
      </w:r>
      <w:r w:rsidR="00D356F3" w:rsidRPr="003808DD">
        <w:t>F</w:t>
      </w:r>
      <w:r w:rsidRPr="003808DD">
        <w:t>).</w:t>
      </w:r>
      <w:r w:rsidR="00D356F3" w:rsidRPr="003808DD">
        <w:t xml:space="preserve"> </w:t>
      </w:r>
      <w:r w:rsidR="00416C89" w:rsidRPr="003808DD">
        <w:t>O</w:t>
      </w:r>
      <w:r w:rsidR="00D356F3" w:rsidRPr="003808DD">
        <w:t xml:space="preserve"> </w:t>
      </w:r>
      <w:r w:rsidR="007E65CB" w:rsidRPr="003808DD">
        <w:t>estudo seguiu todos os preceitos éticos e</w:t>
      </w:r>
      <w:r w:rsidR="00D356F3" w:rsidRPr="003808DD">
        <w:t xml:space="preserve"> foi aprovado pelo Comitê de Ética em Pesquisa com </w:t>
      </w:r>
      <w:r w:rsidR="00416C89" w:rsidRPr="003808DD">
        <w:t>S</w:t>
      </w:r>
      <w:r w:rsidR="00D356F3" w:rsidRPr="003808DD">
        <w:t>eres Humanos da UFJF (nº 11822413.2.0000.5147).</w:t>
      </w:r>
    </w:p>
    <w:p w:rsidR="009947C6" w:rsidRDefault="009947C6" w:rsidP="00764CE8">
      <w:pPr>
        <w:spacing w:after="0" w:line="480" w:lineRule="auto"/>
        <w:ind w:firstLine="709"/>
        <w:jc w:val="both"/>
      </w:pPr>
      <w:r w:rsidRPr="00E8625E">
        <w:t>A amostra deste estudo foi obtida por amostragem de conveniência de acordo com a demanda atendida no ambulatório de Nutrição Clínica do HU/UFJF, sendo considerados inelegíveis para o estudo os participantes que apresentavam IMC ≤ 24,9 kg/m</w:t>
      </w:r>
      <w:r w:rsidRPr="00E8625E">
        <w:rPr>
          <w:vertAlign w:val="superscript"/>
        </w:rPr>
        <w:t>2</w:t>
      </w:r>
      <w:r w:rsidRPr="00E8625E">
        <w:t xml:space="preserve">, portadores de cardiopatias graves, hepatopatias, doença renal crônica ou aguda, neoplasias, doenças neurológicas e psiquiátricas, </w:t>
      </w:r>
      <w:r>
        <w:t>síndrome da imunodeficiência adquirida</w:t>
      </w:r>
      <w:r w:rsidRPr="00E8625E">
        <w:t xml:space="preserve">, doenças da </w:t>
      </w:r>
      <w:proofErr w:type="spellStart"/>
      <w:r w:rsidRPr="00E8625E">
        <w:t>tireóide</w:t>
      </w:r>
      <w:proofErr w:type="spellEnd"/>
      <w:r w:rsidRPr="00E8625E">
        <w:t>, gestantes, nutrizes, indivíduos que estivessem participando de algum programa de educação nutricional e os que tivessem realizado cirurgia bariátrica.</w:t>
      </w:r>
    </w:p>
    <w:p w:rsidR="00764CE8" w:rsidRDefault="00764CE8" w:rsidP="00764CE8">
      <w:pPr>
        <w:spacing w:after="0" w:line="480" w:lineRule="auto"/>
        <w:ind w:firstLine="709"/>
        <w:jc w:val="both"/>
      </w:pPr>
    </w:p>
    <w:p w:rsidR="00764CE8" w:rsidRPr="00E8625E" w:rsidRDefault="00764CE8" w:rsidP="00764CE8">
      <w:pPr>
        <w:spacing w:after="0"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2.2 </w:t>
      </w:r>
      <w:r w:rsidRPr="00E8625E">
        <w:rPr>
          <w:b/>
          <w:szCs w:val="24"/>
        </w:rPr>
        <w:t>Antropometria</w:t>
      </w:r>
    </w:p>
    <w:p w:rsidR="00764CE8" w:rsidRPr="00E8625E" w:rsidRDefault="00764CE8" w:rsidP="005C2D74">
      <w:pPr>
        <w:spacing w:after="0" w:line="480" w:lineRule="auto"/>
        <w:ind w:firstLine="709"/>
        <w:jc w:val="both"/>
      </w:pPr>
    </w:p>
    <w:p w:rsidR="009947C6" w:rsidRDefault="009947C6" w:rsidP="005C2D74">
      <w:pPr>
        <w:spacing w:after="0" w:line="480" w:lineRule="auto"/>
        <w:ind w:firstLine="709"/>
        <w:jc w:val="both"/>
        <w:rPr>
          <w:rFonts w:eastAsia="Times New Roman"/>
          <w:lang w:eastAsia="pt-BR"/>
        </w:rPr>
      </w:pPr>
      <w:r>
        <w:t>Os dados</w:t>
      </w:r>
      <w:r w:rsidRPr="00F5102E">
        <w:t xml:space="preserve"> utilizados neste estudo foram coletados </w:t>
      </w:r>
      <w:r>
        <w:t xml:space="preserve">na primeira consulta no ambulatório do HU/UFJF, </w:t>
      </w:r>
      <w:r w:rsidRPr="00F5102E">
        <w:t>antes de qualquer intervenção nutricional.</w:t>
      </w:r>
      <w:r>
        <w:t xml:space="preserve"> Foram coletadas variáveis </w:t>
      </w:r>
      <w:proofErr w:type="spellStart"/>
      <w:r>
        <w:t>sociodemográficas</w:t>
      </w:r>
      <w:proofErr w:type="spellEnd"/>
      <w:r>
        <w:t xml:space="preserve">, de estilo de vida, antropométricas (peso e estatura) e de consumo alimentar. </w:t>
      </w:r>
      <w:r w:rsidRPr="00E8625E">
        <w:t xml:space="preserve">O peso foi medido em tomada única por meio da balança </w:t>
      </w:r>
      <w:proofErr w:type="spellStart"/>
      <w:r w:rsidRPr="00E8625E">
        <w:t>Tanita</w:t>
      </w:r>
      <w:proofErr w:type="spellEnd"/>
      <w:r w:rsidRPr="00E8625E">
        <w:rPr>
          <w:vertAlign w:val="superscript"/>
        </w:rPr>
        <w:t>®</w:t>
      </w:r>
      <w:r w:rsidRPr="00E8625E">
        <w:t xml:space="preserve"> (modelo BC-553; </w:t>
      </w:r>
      <w:proofErr w:type="spellStart"/>
      <w:r w:rsidRPr="00E8625E">
        <w:t>Tanita</w:t>
      </w:r>
      <w:proofErr w:type="spellEnd"/>
      <w:r w:rsidRPr="00E8625E">
        <w:t xml:space="preserve"> Ironman</w:t>
      </w:r>
      <w:r w:rsidRPr="00E8625E">
        <w:rPr>
          <w:vertAlign w:val="superscript"/>
        </w:rPr>
        <w:t>®</w:t>
      </w:r>
      <w:r w:rsidRPr="00E8625E">
        <w:t xml:space="preserve">, Reino Unido), com capacidade máxima para 136,0 Kg e divisão de 50,0 g. Os participantes foram avaliados em posição ortostática, no centro da plataforma, descalços e vestindo roupas leves. A estatura foi mensurada por meio do </w:t>
      </w:r>
      <w:proofErr w:type="spellStart"/>
      <w:r w:rsidRPr="00E8625E">
        <w:t>estadiômetro</w:t>
      </w:r>
      <w:proofErr w:type="spellEnd"/>
      <w:r w:rsidRPr="00E8625E">
        <w:t xml:space="preserve"> </w:t>
      </w:r>
      <w:proofErr w:type="spellStart"/>
      <w:r w:rsidRPr="00E8625E">
        <w:t>Alturexata</w:t>
      </w:r>
      <w:proofErr w:type="spellEnd"/>
      <w:r w:rsidRPr="00E8625E">
        <w:rPr>
          <w:vertAlign w:val="superscript"/>
        </w:rPr>
        <w:t>®</w:t>
      </w:r>
      <w:r w:rsidRPr="00E8625E">
        <w:t xml:space="preserve"> (</w:t>
      </w:r>
      <w:proofErr w:type="spellStart"/>
      <w:r w:rsidRPr="00E8625E">
        <w:t>Alturexata</w:t>
      </w:r>
      <w:proofErr w:type="spellEnd"/>
      <w:r w:rsidRPr="00E8625E">
        <w:t xml:space="preserve">, Brasil), com escala em centímetros e precisão de 1,0 </w:t>
      </w:r>
      <w:proofErr w:type="spellStart"/>
      <w:r w:rsidRPr="00E8625E">
        <w:t>mm.</w:t>
      </w:r>
      <w:proofErr w:type="spellEnd"/>
      <w:r w:rsidRPr="00E8625E">
        <w:t xml:space="preserve"> Os participantes foram colocados de costas para o marcador, em posição ortostática, descalços e com os pés unidos pelos tornozelos.</w:t>
      </w:r>
      <w:r>
        <w:t xml:space="preserve"> </w:t>
      </w:r>
      <w:r w:rsidRPr="00E8625E">
        <w:t>O grau de excesso de peso foi determinado pela categorização do índice de massa corporal (IMC) – fração entre o peso (Kg) e a estatura (m</w:t>
      </w:r>
      <w:r w:rsidRPr="00E8625E">
        <w:rPr>
          <w:vertAlign w:val="superscript"/>
        </w:rPr>
        <w:t>2</w:t>
      </w:r>
      <w:r w:rsidRPr="00E8625E">
        <w:t xml:space="preserve">). </w:t>
      </w:r>
      <w:r w:rsidRPr="00E8625E">
        <w:rPr>
          <w:rFonts w:eastAsia="Times New Roman"/>
          <w:lang w:eastAsia="pt-BR"/>
        </w:rPr>
        <w:t>Aqueles com IMC ≥ 25,0 Kg/m</w:t>
      </w:r>
      <w:r w:rsidRPr="00E8625E">
        <w:rPr>
          <w:rFonts w:eastAsia="Times New Roman"/>
          <w:vertAlign w:val="superscript"/>
          <w:lang w:eastAsia="pt-BR"/>
        </w:rPr>
        <w:t>2</w:t>
      </w:r>
      <w:r w:rsidRPr="00E8625E">
        <w:rPr>
          <w:rFonts w:eastAsia="Times New Roman"/>
          <w:lang w:eastAsia="pt-BR"/>
        </w:rPr>
        <w:t xml:space="preserve"> e ≥ 30,0 Kg/m</w:t>
      </w:r>
      <w:r w:rsidRPr="00E8625E">
        <w:rPr>
          <w:rFonts w:eastAsia="Times New Roman"/>
          <w:vertAlign w:val="superscript"/>
          <w:lang w:eastAsia="pt-BR"/>
        </w:rPr>
        <w:t>2</w:t>
      </w:r>
      <w:r w:rsidRPr="00E8625E">
        <w:rPr>
          <w:rFonts w:eastAsia="Times New Roman"/>
          <w:lang w:eastAsia="pt-BR"/>
        </w:rPr>
        <w:t xml:space="preserve"> foram identificados, respectiva</w:t>
      </w:r>
      <w:r w:rsidR="00630F80">
        <w:rPr>
          <w:rFonts w:eastAsia="Times New Roman"/>
          <w:lang w:eastAsia="pt-BR"/>
        </w:rPr>
        <w:t>mente, com sobrepeso e obesidade [13].</w:t>
      </w:r>
    </w:p>
    <w:p w:rsidR="00764CE8" w:rsidRDefault="00764CE8" w:rsidP="005C2D74">
      <w:pPr>
        <w:spacing w:after="0" w:line="480" w:lineRule="auto"/>
        <w:ind w:firstLine="709"/>
        <w:jc w:val="both"/>
        <w:rPr>
          <w:rFonts w:eastAsia="Times New Roman"/>
          <w:lang w:eastAsia="pt-BR"/>
        </w:rPr>
      </w:pPr>
    </w:p>
    <w:p w:rsidR="00764CE8" w:rsidRDefault="00764CE8" w:rsidP="00764CE8">
      <w:pPr>
        <w:spacing w:after="0" w:line="480" w:lineRule="auto"/>
        <w:jc w:val="both"/>
        <w:rPr>
          <w:b/>
          <w:szCs w:val="24"/>
        </w:rPr>
      </w:pPr>
      <w:proofErr w:type="gramStart"/>
      <w:r>
        <w:rPr>
          <w:b/>
          <w:szCs w:val="24"/>
        </w:rPr>
        <w:t xml:space="preserve">2.3 </w:t>
      </w:r>
      <w:r w:rsidRPr="00E8625E">
        <w:rPr>
          <w:b/>
          <w:szCs w:val="24"/>
        </w:rPr>
        <w:t>Consumo</w:t>
      </w:r>
      <w:proofErr w:type="gramEnd"/>
      <w:r w:rsidRPr="00E8625E">
        <w:rPr>
          <w:b/>
          <w:szCs w:val="24"/>
        </w:rPr>
        <w:t xml:space="preserve"> alimentar</w:t>
      </w:r>
    </w:p>
    <w:p w:rsidR="00764CE8" w:rsidRPr="00E8625E" w:rsidRDefault="00764CE8" w:rsidP="00764CE8">
      <w:pPr>
        <w:spacing w:after="0" w:line="480" w:lineRule="auto"/>
        <w:jc w:val="both"/>
      </w:pPr>
    </w:p>
    <w:p w:rsidR="009947C6" w:rsidRPr="00630F80" w:rsidRDefault="009947C6" w:rsidP="00630F80">
      <w:pPr>
        <w:spacing w:after="0" w:line="480" w:lineRule="auto"/>
        <w:ind w:firstLine="709"/>
        <w:jc w:val="both"/>
        <w:rPr>
          <w:vertAlign w:val="superscript"/>
        </w:rPr>
      </w:pPr>
      <w:r w:rsidRPr="00E8625E">
        <w:t xml:space="preserve">Para estimar a ingestão habitual dos participantes, aplicou-se um questionário quantitativo de frequência alimentar (QQFA) adaptado. Para cada item do QQFA, validado por Ribeiro e Cardoso (2002), os voluntários informaram a frequência média de consumo habitual (diária, semanal ou mensal) relativa aos últimos seis meses e o tamanho da porção ingerida. Para auxiliar os participantes na estimativa das porções, utilizou-se o álbum fotográfico elaborado por Sales, </w:t>
      </w:r>
      <w:r w:rsidR="000C6B6A">
        <w:t>Costa e Silva (2004)</w:t>
      </w:r>
      <w:r w:rsidRPr="00E8625E">
        <w:t xml:space="preserve">. </w:t>
      </w:r>
      <w:r>
        <w:t xml:space="preserve"> </w:t>
      </w:r>
      <w:r w:rsidRPr="00E8625E">
        <w:t>A conversão dos alimentos relatados em medidas caseiras para gramas foi realizada com base na</w:t>
      </w:r>
      <w:r w:rsidR="00630F80">
        <w:t xml:space="preserve"> padr</w:t>
      </w:r>
      <w:r w:rsidR="000C6B6A">
        <w:t>onização de Pinheiro (2013)</w:t>
      </w:r>
      <w:r w:rsidRPr="00E8625E">
        <w:t xml:space="preserve"> e a análise do consumo total de energia, </w:t>
      </w:r>
      <w:proofErr w:type="spellStart"/>
      <w:r w:rsidRPr="00E8625E">
        <w:t>macronutrientes</w:t>
      </w:r>
      <w:proofErr w:type="spellEnd"/>
      <w:r w:rsidRPr="00E8625E">
        <w:t xml:space="preserve"> (carboidratos, proteínas e lipídeos) e fibras foram realizadas utilizando-se as tabelas de composição de ali</w:t>
      </w:r>
      <w:r w:rsidR="00630F80">
        <w:t>mentos TACO (</w:t>
      </w:r>
      <w:proofErr w:type="spellStart"/>
      <w:r w:rsidR="00630F80">
        <w:t>Nepa</w:t>
      </w:r>
      <w:proofErr w:type="spellEnd"/>
      <w:r w:rsidR="00630F80">
        <w:t>-</w:t>
      </w:r>
      <w:r w:rsidR="000C6B6A">
        <w:lastRenderedPageBreak/>
        <w:t xml:space="preserve">Unicamp, 2011), </w:t>
      </w:r>
      <w:proofErr w:type="spellStart"/>
      <w:r w:rsidR="000C6B6A">
        <w:t>Philippi</w:t>
      </w:r>
      <w:proofErr w:type="spellEnd"/>
      <w:r w:rsidR="000C6B6A">
        <w:t xml:space="preserve"> (2013) e Pacheco (2011)</w:t>
      </w:r>
      <w:r w:rsidRPr="00E8625E">
        <w:t xml:space="preserve"> e também a consulta de rótulos daqueles alimentos não constantes nas tabelas. </w:t>
      </w:r>
    </w:p>
    <w:p w:rsidR="009947C6" w:rsidRDefault="009947C6" w:rsidP="005C2D74">
      <w:pPr>
        <w:spacing w:after="0" w:line="480" w:lineRule="auto"/>
        <w:ind w:firstLine="709"/>
        <w:jc w:val="both"/>
      </w:pPr>
      <w:r w:rsidRPr="00E8625E">
        <w:t xml:space="preserve">Para a análise qualitativa do QQFA, cada alimento da lista foi classificado de acordo com seu o grau de processamento, como proposto por Monteiro </w:t>
      </w:r>
      <w:proofErr w:type="gramStart"/>
      <w:r w:rsidRPr="00E8625E">
        <w:rPr>
          <w:i/>
        </w:rPr>
        <w:t>et</w:t>
      </w:r>
      <w:proofErr w:type="gramEnd"/>
      <w:r w:rsidRPr="00E8625E">
        <w:rPr>
          <w:i/>
        </w:rPr>
        <w:t xml:space="preserve"> al.</w:t>
      </w:r>
      <w:r w:rsidRPr="00E8625E">
        <w:t xml:space="preserve"> (20</w:t>
      </w:r>
      <w:r>
        <w:t>09</w:t>
      </w:r>
      <w:r w:rsidR="000C6B6A">
        <w:t xml:space="preserve">) </w:t>
      </w:r>
      <w:r w:rsidR="00630F80">
        <w:t xml:space="preserve"> </w:t>
      </w:r>
      <w:r w:rsidRPr="00E8625E">
        <w:t xml:space="preserve">sendo então divididos em três grupos: grupo 1 (G1) - composto pelos alimentos </w:t>
      </w:r>
      <w:r w:rsidRPr="00E8625E">
        <w:rPr>
          <w:i/>
          <w:iCs/>
        </w:rPr>
        <w:t xml:space="preserve">in natura </w:t>
      </w:r>
      <w:r w:rsidRPr="00E8625E">
        <w:t>ou minimamente processados; grupo 2 (G2) – composto por alimentos processados e ingredientes culinários; grupo 3 (G3) – composto pelos produt</w:t>
      </w:r>
      <w:r w:rsidR="00630F80">
        <w:t>os alime</w:t>
      </w:r>
      <w:r w:rsidR="000C6B6A">
        <w:t xml:space="preserve">ntícios </w:t>
      </w:r>
      <w:proofErr w:type="spellStart"/>
      <w:r w:rsidR="000C6B6A">
        <w:t>ultraprocessados</w:t>
      </w:r>
      <w:proofErr w:type="spellEnd"/>
      <w:r w:rsidR="000C6B6A">
        <w:t xml:space="preserve"> (MOUBARAC et al., 2014; MINISTÉRIO DA SAÚDE, 2014)</w:t>
      </w:r>
      <w:r w:rsidRPr="00E8625E">
        <w:rPr>
          <w:vertAlign w:val="subscript"/>
        </w:rPr>
        <w:t>.</w:t>
      </w:r>
      <w:r>
        <w:rPr>
          <w:vertAlign w:val="subscript"/>
        </w:rPr>
        <w:t xml:space="preserve"> </w:t>
      </w:r>
      <w:r w:rsidRPr="00E8625E">
        <w:t>Quando o item do QQFA era uma preparação caseira, por definição não processada ​​industrialmente, esta teve seus ingredientes desmembrados e cada um classificado apropriadamente.</w:t>
      </w:r>
    </w:p>
    <w:p w:rsidR="00764CE8" w:rsidRDefault="00764CE8" w:rsidP="00764CE8">
      <w:pPr>
        <w:spacing w:after="0" w:line="480" w:lineRule="auto"/>
        <w:jc w:val="both"/>
      </w:pPr>
    </w:p>
    <w:p w:rsidR="00764CE8" w:rsidRPr="00E8625E" w:rsidRDefault="00764CE8" w:rsidP="00764CE8">
      <w:pPr>
        <w:tabs>
          <w:tab w:val="left" w:pos="7419"/>
        </w:tabs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  <w:r w:rsidRPr="00764CE8">
        <w:rPr>
          <w:b/>
        </w:rPr>
        <w:t>2.4</w:t>
      </w:r>
      <w:r>
        <w:t xml:space="preserve"> </w:t>
      </w:r>
      <w:r w:rsidRPr="00E8625E">
        <w:rPr>
          <w:b/>
          <w:szCs w:val="24"/>
        </w:rPr>
        <w:t>Análises estatísticas</w:t>
      </w:r>
    </w:p>
    <w:p w:rsidR="00764CE8" w:rsidRPr="00E8625E" w:rsidRDefault="00764CE8" w:rsidP="00764CE8">
      <w:pPr>
        <w:spacing w:after="0" w:line="480" w:lineRule="auto"/>
        <w:jc w:val="both"/>
      </w:pPr>
    </w:p>
    <w:p w:rsidR="009947C6" w:rsidRPr="00E8625E" w:rsidRDefault="009947C6" w:rsidP="005C2D74">
      <w:pPr>
        <w:spacing w:after="0" w:line="480" w:lineRule="auto"/>
        <w:ind w:firstLine="709"/>
        <w:jc w:val="both"/>
        <w:rPr>
          <w:lang w:eastAsia="pt-BR"/>
        </w:rPr>
      </w:pPr>
      <w:r>
        <w:t>Para análise estatística, o</w:t>
      </w:r>
      <w:r w:rsidRPr="00E8625E">
        <w:t>s dados de consumo alimentar foram tabulados e calculados no Excel. Para realização das</w:t>
      </w:r>
      <w:r w:rsidRPr="00E8625E">
        <w:rPr>
          <w:lang w:eastAsia="pt-BR"/>
        </w:rPr>
        <w:t xml:space="preserve"> análises das variáveis, utilizou-se o </w:t>
      </w:r>
      <w:r w:rsidRPr="00E8625E">
        <w:rPr>
          <w:i/>
          <w:lang w:eastAsia="pt-BR"/>
        </w:rPr>
        <w:t>software</w:t>
      </w:r>
      <w:r w:rsidRPr="00E8625E">
        <w:rPr>
          <w:lang w:eastAsia="pt-BR"/>
        </w:rPr>
        <w:t xml:space="preserve"> SPSS</w:t>
      </w:r>
      <w:r w:rsidRPr="00E8625E">
        <w:rPr>
          <w:vertAlign w:val="superscript"/>
          <w:lang w:eastAsia="pt-BR"/>
        </w:rPr>
        <w:t>®</w:t>
      </w:r>
      <w:r w:rsidRPr="00E8625E">
        <w:rPr>
          <w:lang w:eastAsia="pt-BR"/>
        </w:rPr>
        <w:t xml:space="preserve"> (versão 20.0; SPSS Inc.</w:t>
      </w:r>
      <w:r w:rsidRPr="00E8625E">
        <w:rPr>
          <w:vertAlign w:val="superscript"/>
          <w:lang w:eastAsia="pt-BR"/>
        </w:rPr>
        <w:t>®</w:t>
      </w:r>
      <w:r w:rsidRPr="00E8625E">
        <w:rPr>
          <w:lang w:eastAsia="pt-BR"/>
        </w:rPr>
        <w:t xml:space="preserve">, Chicago, IL, EUA). A caracterização dos participantes foi sumarizada usando frequências absolutas e relativas. Para apresentar a contribuição absoluta e percentual da ingestão de energia e nutrientes de acordo com o grau de processamento dos alimentos, utilizou-se a média e desvio padrão, mediana e amplitude </w:t>
      </w:r>
      <w:proofErr w:type="spellStart"/>
      <w:r w:rsidRPr="00E8625E">
        <w:rPr>
          <w:lang w:eastAsia="pt-BR"/>
        </w:rPr>
        <w:t>interquatil</w:t>
      </w:r>
      <w:proofErr w:type="spellEnd"/>
      <w:r w:rsidRPr="00E8625E">
        <w:rPr>
          <w:lang w:eastAsia="pt-BR"/>
        </w:rPr>
        <w:t xml:space="preserve">, considerando que parte das variáveis apresentou assimetria de acordo com o teste de normalidade </w:t>
      </w:r>
      <w:proofErr w:type="spellStart"/>
      <w:r w:rsidRPr="00E8625E">
        <w:rPr>
          <w:lang w:eastAsia="pt-BR"/>
        </w:rPr>
        <w:t>Kolmogorov-Smirnov</w:t>
      </w:r>
      <w:proofErr w:type="spellEnd"/>
      <w:r w:rsidRPr="00E8625E">
        <w:rPr>
          <w:lang w:eastAsia="pt-BR"/>
        </w:rPr>
        <w:t>.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</w:p>
    <w:p w:rsidR="009947C6" w:rsidRDefault="00764CE8" w:rsidP="00764CE8">
      <w:pPr>
        <w:spacing w:after="0" w:line="480" w:lineRule="auto"/>
        <w:jc w:val="both"/>
        <w:rPr>
          <w:b/>
        </w:rPr>
      </w:pPr>
      <w:proofErr w:type="gramStart"/>
      <w:r w:rsidRPr="00764CE8">
        <w:rPr>
          <w:b/>
        </w:rPr>
        <w:t>3</w:t>
      </w:r>
      <w:proofErr w:type="gramEnd"/>
      <w:r w:rsidRPr="00764CE8">
        <w:rPr>
          <w:b/>
        </w:rPr>
        <w:t xml:space="preserve"> </w:t>
      </w:r>
      <w:r w:rsidR="009947C6" w:rsidRPr="00764CE8">
        <w:rPr>
          <w:b/>
        </w:rPr>
        <w:t>RESULTADOS</w:t>
      </w:r>
    </w:p>
    <w:p w:rsidR="00764CE8" w:rsidRPr="00764CE8" w:rsidRDefault="00764CE8" w:rsidP="00764CE8">
      <w:pPr>
        <w:spacing w:after="0" w:line="480" w:lineRule="auto"/>
        <w:jc w:val="both"/>
        <w:rPr>
          <w:b/>
        </w:rPr>
      </w:pPr>
    </w:p>
    <w:p w:rsidR="009947C6" w:rsidRDefault="009947C6" w:rsidP="005C2D74">
      <w:pPr>
        <w:spacing w:after="0" w:line="480" w:lineRule="auto"/>
        <w:ind w:firstLine="709"/>
        <w:jc w:val="both"/>
      </w:pPr>
      <w:r w:rsidRPr="00E8625E">
        <w:t xml:space="preserve">A Tabela 1 exibe a caracterização dos indivíduos adultos com excesso de peso. Foram avaliados 93 participantes, com idade média de 39,7±11,8, sendo que a maioria era do sexo </w:t>
      </w:r>
      <w:r w:rsidRPr="00E8625E">
        <w:lastRenderedPageBreak/>
        <w:t xml:space="preserve">feminino (72,0%), 37,6% apresentaram o ensino médio incompleto ou completo e 43,9% declararam renda inferior a dois salários mínimos. Em relação ao excesso de peso, a maioria (62,4%) apresentava algum grau de obesidade (IMC ≥ 30,0 Kg/m²). Entre os fatores considerados de risco para o desenvolvimento do excesso de peso e outras </w:t>
      </w:r>
      <w:proofErr w:type="spellStart"/>
      <w:r w:rsidRPr="00E8625E">
        <w:t>comorbidades</w:t>
      </w:r>
      <w:proofErr w:type="spellEnd"/>
      <w:r w:rsidRPr="00E8625E">
        <w:t xml:space="preserve"> crônicas, observou-se que poucos eram tabagistas (8,6%) e etilistas (28,0%); mais da metade (59,1%) não praticava atividade física e entre os que relataram praticar, somente 13,0% faziam dentro do tempo considerado adequado pela </w:t>
      </w:r>
      <w:r>
        <w:t>Organização Mundial da Saúde (OMS</w:t>
      </w:r>
      <w:r w:rsidR="000C6B6A">
        <w:t>, 1998</w:t>
      </w:r>
      <w:r>
        <w:t xml:space="preserve">) </w:t>
      </w:r>
      <w:r w:rsidR="003A4ADB">
        <w:t>(150 minutos)</w:t>
      </w:r>
      <w:r w:rsidRPr="003A4ADB">
        <w:t>.</w:t>
      </w:r>
      <w:r w:rsidRPr="000C6B6A">
        <w:rPr>
          <w:color w:val="FF0000"/>
        </w:rPr>
        <w:t xml:space="preserve">  </w:t>
      </w:r>
      <w:r w:rsidRPr="00E8625E">
        <w:t xml:space="preserve">A </w:t>
      </w:r>
      <w:proofErr w:type="spellStart"/>
      <w:r w:rsidRPr="00E8625E">
        <w:t>comorbidade</w:t>
      </w:r>
      <w:proofErr w:type="spellEnd"/>
      <w:r w:rsidRPr="00E8625E">
        <w:t xml:space="preserve"> associada ao excesso de peso mais presente foi à</w:t>
      </w:r>
      <w:r>
        <w:t xml:space="preserve"> hipertensão arterial sistêmica</w:t>
      </w:r>
      <w:r w:rsidRPr="00E8625E">
        <w:t>, evidenciada em 38,7% dos indivíduos.</w:t>
      </w:r>
    </w:p>
    <w:p w:rsidR="009704C4" w:rsidRDefault="009704C4" w:rsidP="005C2D74">
      <w:pPr>
        <w:spacing w:after="0" w:line="480" w:lineRule="auto"/>
        <w:ind w:firstLine="709"/>
        <w:jc w:val="both"/>
      </w:pPr>
    </w:p>
    <w:p w:rsidR="009704C4" w:rsidRPr="008356BF" w:rsidRDefault="009704C4" w:rsidP="008356BF">
      <w:pPr>
        <w:spacing w:after="0" w:line="480" w:lineRule="auto"/>
        <w:ind w:firstLine="709"/>
        <w:jc w:val="center"/>
        <w:rPr>
          <w:b/>
        </w:rPr>
      </w:pPr>
      <w:r w:rsidRPr="008356BF">
        <w:rPr>
          <w:rFonts w:eastAsia="Times New Roman"/>
          <w:b/>
          <w:lang w:eastAsia="pt-BR"/>
        </w:rPr>
        <w:t>TABELA 1.</w:t>
      </w:r>
    </w:p>
    <w:tbl>
      <w:tblPr>
        <w:tblW w:w="61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228"/>
        <w:gridCol w:w="1183"/>
      </w:tblGrid>
      <w:tr w:rsidR="009704C4" w:rsidRPr="00FE02DB" w:rsidTr="00A609DE">
        <w:trPr>
          <w:trHeight w:val="397"/>
          <w:jc w:val="center"/>
        </w:trPr>
        <w:tc>
          <w:tcPr>
            <w:tcW w:w="614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Default="009704C4" w:rsidP="008356BF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  <w:r w:rsidRPr="008356BF">
              <w:rPr>
                <w:rFonts w:eastAsia="Times New Roman"/>
                <w:lang w:eastAsia="pt-BR"/>
              </w:rPr>
              <w:t>Caracterização dos indivíduos adultos com excesso de peso.</w:t>
            </w:r>
          </w:p>
          <w:p w:rsidR="009704C4" w:rsidRPr="00911741" w:rsidRDefault="009704C4" w:rsidP="008356BF">
            <w:pPr>
              <w:spacing w:after="0" w:line="240" w:lineRule="auto"/>
              <w:jc w:val="center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Variáveis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Frequências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N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%*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Sexo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Feminino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67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72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Masculino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26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28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Escolaridade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Ensino fundamental incompleto ou completo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35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37,6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Ensino médio incompleto ou completo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31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33,3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Ensino superior incompleto ou completo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27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29,1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Renda (salários mínimos)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 xml:space="preserve">≤ </w:t>
            </w:r>
            <w:proofErr w:type="gramStart"/>
            <w:r w:rsidRPr="00911741">
              <w:rPr>
                <w:rFonts w:eastAsia="Times New Roman"/>
                <w:lang w:eastAsia="pt-BR"/>
              </w:rPr>
              <w:t>2</w:t>
            </w:r>
            <w:proofErr w:type="gramEnd"/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40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43,9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 a 5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30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33,0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 xml:space="preserve">≥ </w:t>
            </w:r>
            <w:proofErr w:type="gramStart"/>
            <w:r w:rsidRPr="00911741">
              <w:rPr>
                <w:rFonts w:eastAsia="Times New Roman"/>
                <w:lang w:eastAsia="pt-BR"/>
              </w:rPr>
              <w:t>5</w:t>
            </w:r>
            <w:proofErr w:type="gramEnd"/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21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23,1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Excesso de peso (IMC)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Sobrepeso (≥ 25,0 Kg/m</w:t>
            </w:r>
            <w:r w:rsidRPr="00911741">
              <w:rPr>
                <w:rFonts w:eastAsia="Times New Roman"/>
                <w:vertAlign w:val="superscript"/>
                <w:lang w:eastAsia="pt-BR"/>
              </w:rPr>
              <w:t>2</w:t>
            </w:r>
            <w:r w:rsidRPr="00911741">
              <w:rPr>
                <w:rFonts w:eastAsia="Times New Roman"/>
                <w:lang w:eastAsia="pt-BR"/>
              </w:rPr>
              <w:t>)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35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37,6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Obesidade (≥ 30,0 Kg/m</w:t>
            </w:r>
            <w:r w:rsidRPr="00911741">
              <w:rPr>
                <w:rFonts w:eastAsia="Times New Roman"/>
                <w:vertAlign w:val="superscript"/>
                <w:lang w:eastAsia="pt-BR"/>
              </w:rPr>
              <w:t>2</w:t>
            </w:r>
            <w:r w:rsidRPr="00911741">
              <w:rPr>
                <w:rFonts w:eastAsia="Times New Roman"/>
                <w:lang w:eastAsia="pt-BR"/>
              </w:rPr>
              <w:t>)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58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62,4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Prática de atividade física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38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40,9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Não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55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59,1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lastRenderedPageBreak/>
              <w:t>Uso de álcool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26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28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Não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67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72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Uso de tabaco</w:t>
            </w: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proofErr w:type="gramStart"/>
            <w:r w:rsidRPr="00911741">
              <w:rPr>
                <w:rFonts w:eastAsia="Times New Roman"/>
                <w:lang w:eastAsia="pt-BR"/>
              </w:rPr>
              <w:t>8</w:t>
            </w:r>
            <w:proofErr w:type="gramEnd"/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8,6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Não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85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91,4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 xml:space="preserve">Hipertensão arterial sistêmica 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36</w:t>
            </w:r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38,7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Não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57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61,3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 xml:space="preserve">Diabetes </w:t>
            </w:r>
            <w:r w:rsidRPr="00911741">
              <w:rPr>
                <w:rFonts w:eastAsia="Times New Roman"/>
                <w:i/>
                <w:lang w:eastAsia="pt-BR"/>
              </w:rPr>
              <w:t xml:space="preserve">mellitus </w:t>
            </w:r>
          </w:p>
        </w:tc>
        <w:tc>
          <w:tcPr>
            <w:tcW w:w="12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  <w:tc>
          <w:tcPr>
            <w:tcW w:w="118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Sim</w:t>
            </w:r>
          </w:p>
        </w:tc>
        <w:tc>
          <w:tcPr>
            <w:tcW w:w="12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proofErr w:type="gramStart"/>
            <w:r w:rsidRPr="00911741">
              <w:rPr>
                <w:rFonts w:eastAsia="Times New Roman"/>
                <w:lang w:eastAsia="pt-BR"/>
              </w:rPr>
              <w:t>7</w:t>
            </w:r>
            <w:proofErr w:type="gramEnd"/>
          </w:p>
        </w:tc>
        <w:tc>
          <w:tcPr>
            <w:tcW w:w="11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7,5</w:t>
            </w:r>
          </w:p>
        </w:tc>
      </w:tr>
      <w:tr w:rsidR="009704C4" w:rsidRPr="00FE02DB" w:rsidTr="00A609DE">
        <w:trPr>
          <w:trHeight w:val="340"/>
          <w:jc w:val="center"/>
        </w:trPr>
        <w:tc>
          <w:tcPr>
            <w:tcW w:w="37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Não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86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92,5</w:t>
            </w:r>
          </w:p>
        </w:tc>
      </w:tr>
      <w:tr w:rsidR="009704C4" w:rsidRPr="00FE02DB" w:rsidTr="00A609DE">
        <w:trPr>
          <w:trHeight w:val="567"/>
          <w:jc w:val="center"/>
        </w:trPr>
        <w:tc>
          <w:tcPr>
            <w:tcW w:w="614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704C4" w:rsidRPr="00911741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*Percentual válido, considerando a ocorrência de perdas.</w:t>
            </w:r>
          </w:p>
          <w:p w:rsidR="009704C4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  <w:r w:rsidRPr="00911741">
              <w:rPr>
                <w:rFonts w:eastAsia="Times New Roman"/>
                <w:lang w:eastAsia="pt-BR"/>
              </w:rPr>
              <w:t>IMC, índice de massa corporal.</w:t>
            </w:r>
          </w:p>
          <w:p w:rsidR="009704C4" w:rsidRDefault="009704C4" w:rsidP="00A609DE">
            <w:pPr>
              <w:spacing w:after="0" w:line="240" w:lineRule="auto"/>
              <w:rPr>
                <w:rFonts w:eastAsia="Times New Roman"/>
                <w:lang w:eastAsia="pt-BR"/>
              </w:rPr>
            </w:pPr>
          </w:p>
          <w:p w:rsidR="009704C4" w:rsidRPr="00D51794" w:rsidRDefault="003808DD" w:rsidP="00A609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Times New Roman"/>
                <w:lang w:eastAsia="pt-BR"/>
              </w:rPr>
              <w:t>Fonte: O</w:t>
            </w:r>
            <w:r w:rsidR="00173C6A">
              <w:rPr>
                <w:rFonts w:eastAsia="Times New Roman"/>
                <w:lang w:eastAsia="pt-BR"/>
              </w:rPr>
              <w:t>s autores (2017</w:t>
            </w:r>
            <w:r w:rsidR="009704C4">
              <w:rPr>
                <w:rFonts w:eastAsia="Times New Roman"/>
                <w:lang w:eastAsia="pt-BR"/>
              </w:rPr>
              <w:t>).</w:t>
            </w:r>
          </w:p>
        </w:tc>
      </w:tr>
    </w:tbl>
    <w:p w:rsidR="009704C4" w:rsidRDefault="009704C4" w:rsidP="005C2D74">
      <w:pPr>
        <w:spacing w:after="0" w:line="480" w:lineRule="auto"/>
        <w:ind w:firstLine="709"/>
        <w:jc w:val="both"/>
      </w:pPr>
    </w:p>
    <w:p w:rsidR="009947C6" w:rsidRDefault="009947C6" w:rsidP="005C2D74">
      <w:pPr>
        <w:spacing w:after="0" w:line="480" w:lineRule="auto"/>
        <w:ind w:firstLine="709"/>
        <w:jc w:val="both"/>
        <w:rPr>
          <w:lang w:eastAsia="pt-BR"/>
        </w:rPr>
      </w:pPr>
      <w:r w:rsidRPr="00E8625E">
        <w:t xml:space="preserve">A Tabela 2 mostra que a mediana de consumo calórico total dos participantes com excesso de peso foi de 2002,1 calorias, sendo 58,4% de carboidratos, 17,7% de proteínas, 28,1% de lipídeos e 27,6 g de fibras.  Quando considerada a fração de consumo segundo o grau de processamento dos alimentos, observou-se para os alimentos G1 um consumo mediano diário de energia de 975,5 Kcal, carboidratos de </w:t>
      </w:r>
      <w:r w:rsidRPr="00E8625E">
        <w:rPr>
          <w:lang w:eastAsia="pt-BR"/>
        </w:rPr>
        <w:t>29,4%</w:t>
      </w:r>
      <w:r w:rsidRPr="00E8625E">
        <w:t xml:space="preserve">, proteínas de </w:t>
      </w:r>
      <w:r w:rsidRPr="00E8625E">
        <w:rPr>
          <w:lang w:eastAsia="pt-BR"/>
        </w:rPr>
        <w:t>11,5%</w:t>
      </w:r>
      <w:r w:rsidRPr="00E8625E">
        <w:t xml:space="preserve">, lipídeos de 10,9% e fibras de 18,6g. Já para os grupos G2 e G3 foi evidenciado valores menores de consumo diário (energia: 442,3 Kcal e 491,5 Kcal; carboidratos: </w:t>
      </w:r>
      <w:r w:rsidRPr="00E8625E">
        <w:rPr>
          <w:lang w:eastAsia="pt-BR"/>
        </w:rPr>
        <w:t xml:space="preserve">10,1% e 14,6%; </w:t>
      </w:r>
      <w:r w:rsidRPr="00E8625E">
        <w:t xml:space="preserve">proteínas: </w:t>
      </w:r>
      <w:r w:rsidRPr="00E8625E">
        <w:rPr>
          <w:lang w:eastAsia="pt-BR"/>
        </w:rPr>
        <w:t xml:space="preserve">3,1% e 2,1%; </w:t>
      </w:r>
      <w:r w:rsidRPr="00E8625E">
        <w:t>lipídeos:</w:t>
      </w:r>
      <w:r w:rsidRPr="00E8625E">
        <w:rPr>
          <w:lang w:eastAsia="pt-BR"/>
        </w:rPr>
        <w:t xml:space="preserve"> 8,5% e 6,7%; fibras: 2,0g e 3,1g, respectivamente). </w:t>
      </w: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34746E">
      <w:pPr>
        <w:spacing w:after="0" w:line="480" w:lineRule="auto"/>
        <w:jc w:val="both"/>
        <w:rPr>
          <w:lang w:eastAsia="pt-BR"/>
        </w:rPr>
        <w:sectPr w:rsidR="002871D1" w:rsidSect="002871D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766"/>
        <w:gridCol w:w="766"/>
        <w:gridCol w:w="954"/>
        <w:gridCol w:w="666"/>
        <w:gridCol w:w="809"/>
        <w:gridCol w:w="688"/>
        <w:gridCol w:w="916"/>
        <w:gridCol w:w="688"/>
        <w:gridCol w:w="789"/>
        <w:gridCol w:w="688"/>
        <w:gridCol w:w="954"/>
        <w:gridCol w:w="759"/>
        <w:gridCol w:w="789"/>
        <w:gridCol w:w="759"/>
        <w:gridCol w:w="916"/>
        <w:gridCol w:w="690"/>
      </w:tblGrid>
      <w:tr w:rsidR="002871D1" w:rsidRPr="0027232B" w:rsidTr="00A609DE">
        <w:trPr>
          <w:trHeight w:val="397"/>
          <w:jc w:val="center"/>
        </w:trPr>
        <w:tc>
          <w:tcPr>
            <w:tcW w:w="1464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2871D1" w:rsidRPr="008356BF" w:rsidRDefault="002871D1" w:rsidP="008356BF">
            <w:pPr>
              <w:spacing w:after="0" w:line="240" w:lineRule="auto"/>
              <w:jc w:val="center"/>
              <w:rPr>
                <w:b/>
              </w:rPr>
            </w:pPr>
            <w:r w:rsidRPr="008356BF">
              <w:rPr>
                <w:b/>
              </w:rPr>
              <w:lastRenderedPageBreak/>
              <w:t>TABELA 2</w:t>
            </w:r>
          </w:p>
          <w:p w:rsidR="002871D1" w:rsidRPr="008356BF" w:rsidRDefault="002871D1" w:rsidP="008356BF">
            <w:pPr>
              <w:spacing w:after="0" w:line="240" w:lineRule="auto"/>
              <w:jc w:val="center"/>
            </w:pPr>
          </w:p>
          <w:p w:rsidR="002871D1" w:rsidRPr="0065453E" w:rsidRDefault="002871D1" w:rsidP="008356BF">
            <w:pPr>
              <w:spacing w:after="0" w:line="240" w:lineRule="auto"/>
              <w:jc w:val="center"/>
            </w:pPr>
            <w:r w:rsidRPr="008356BF">
              <w:t xml:space="preserve">Consumo total de energia, </w:t>
            </w:r>
            <w:proofErr w:type="spellStart"/>
            <w:r w:rsidRPr="008356BF">
              <w:t>macronutrientes</w:t>
            </w:r>
            <w:proofErr w:type="spellEnd"/>
            <w:r w:rsidRPr="008356BF">
              <w:t xml:space="preserve"> e fibras, segundo o grau de processamento dos alimentos.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vMerge w:val="restart"/>
            <w:tcBorders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 xml:space="preserve">Energia, </w:t>
            </w:r>
            <w:proofErr w:type="spellStart"/>
            <w:r w:rsidRPr="00911741">
              <w:rPr>
                <w:sz w:val="20"/>
                <w:szCs w:val="20"/>
              </w:rPr>
              <w:t>macronutrientes</w:t>
            </w:r>
            <w:proofErr w:type="spellEnd"/>
            <w:r w:rsidRPr="00911741">
              <w:rPr>
                <w:sz w:val="20"/>
                <w:szCs w:val="20"/>
              </w:rPr>
              <w:t xml:space="preserve"> </w:t>
            </w:r>
          </w:p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911741">
              <w:rPr>
                <w:sz w:val="20"/>
                <w:szCs w:val="20"/>
              </w:rPr>
              <w:t>e</w:t>
            </w:r>
            <w:proofErr w:type="gramEnd"/>
            <w:r w:rsidRPr="00911741">
              <w:rPr>
                <w:sz w:val="20"/>
                <w:szCs w:val="20"/>
              </w:rPr>
              <w:t xml:space="preserve"> fibras</w:t>
            </w:r>
          </w:p>
        </w:tc>
        <w:tc>
          <w:tcPr>
            <w:tcW w:w="12905" w:type="dxa"/>
            <w:gridSpan w:val="16"/>
            <w:vAlign w:val="center"/>
          </w:tcPr>
          <w:p w:rsidR="002871D1" w:rsidRPr="00911741" w:rsidRDefault="002871D1" w:rsidP="00A609DE">
            <w:pPr>
              <w:spacing w:after="0" w:line="240" w:lineRule="auto"/>
            </w:pPr>
            <w:r w:rsidRPr="00911741">
              <w:t>Consumo alimentar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vMerge/>
            <w:tcBorders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4"/>
            <w:tcBorders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Consumo total / dia (</w:t>
            </w:r>
            <w:r w:rsidRPr="00911741">
              <w:rPr>
                <w:i/>
                <w:sz w:val="20"/>
                <w:szCs w:val="20"/>
              </w:rPr>
              <w:t>n</w:t>
            </w:r>
            <w:r w:rsidRPr="00911741">
              <w:rPr>
                <w:sz w:val="20"/>
                <w:szCs w:val="20"/>
              </w:rPr>
              <w:t xml:space="preserve"> = 93)</w:t>
            </w:r>
          </w:p>
        </w:tc>
        <w:tc>
          <w:tcPr>
            <w:tcW w:w="31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</w:pPr>
            <w:r w:rsidRPr="00911741">
              <w:t>G1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</w:pPr>
            <w:r w:rsidRPr="00911741">
              <w:t>G2</w:t>
            </w:r>
          </w:p>
        </w:tc>
        <w:tc>
          <w:tcPr>
            <w:tcW w:w="3265" w:type="dxa"/>
            <w:gridSpan w:val="4"/>
            <w:tcBorders>
              <w:lef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</w:pPr>
            <w:r w:rsidRPr="00911741">
              <w:t>G3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Média</w:t>
            </w:r>
          </w:p>
        </w:tc>
        <w:tc>
          <w:tcPr>
            <w:tcW w:w="7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DP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Mediana</w:t>
            </w:r>
          </w:p>
        </w:tc>
        <w:tc>
          <w:tcPr>
            <w:tcW w:w="6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IQR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Média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DP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Mediana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IQR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Média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DP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Mediana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IQR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Média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DP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Mediana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IQR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Energia (kcal)</w:t>
            </w:r>
          </w:p>
        </w:tc>
        <w:tc>
          <w:tcPr>
            <w:tcW w:w="7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2275,3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1317,4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2002,1</w:t>
            </w:r>
          </w:p>
        </w:tc>
        <w:tc>
          <w:tcPr>
            <w:tcW w:w="623" w:type="dxa"/>
            <w:tcBorders>
              <w:left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980,2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1043,5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433,9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975,5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551,4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542,8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502,7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442,3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347,6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614,0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624,5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491,5</w:t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417,5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Carboidratos (%)</w:t>
            </w:r>
          </w:p>
        </w:tc>
        <w:tc>
          <w:tcPr>
            <w:tcW w:w="753" w:type="dxa"/>
            <w:tcBorders>
              <w:top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58,4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9,7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56,1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12,9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32,3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22,2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29,4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15,5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12,1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13,9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10,1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15,3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7,8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14,6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10,7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Proteínas (%)</w:t>
            </w:r>
          </w:p>
        </w:tc>
        <w:tc>
          <w:tcPr>
            <w:tcW w:w="753" w:type="dxa"/>
            <w:tcBorders>
              <w:top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17,7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17,4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5,9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11,9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11,5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6,2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3,2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1,9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2,8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6,3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2,1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1,9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Lipídeos (%)</w:t>
            </w:r>
          </w:p>
        </w:tc>
        <w:tc>
          <w:tcPr>
            <w:tcW w:w="753" w:type="dxa"/>
            <w:tcBorders>
              <w:top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28,1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28,7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9,0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11,3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10,9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6,9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9,9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6,9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7,4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6,7</w:t>
            </w:r>
          </w:p>
        </w:tc>
        <w:tc>
          <w:tcPr>
            <w:tcW w:w="714" w:type="dxa"/>
            <w:tcBorders>
              <w:top w:val="nil"/>
              <w:bottom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5,8</w:t>
            </w:r>
          </w:p>
        </w:tc>
      </w:tr>
      <w:tr w:rsidR="002871D1" w:rsidRPr="0027232B" w:rsidTr="00A609DE">
        <w:trPr>
          <w:trHeight w:val="397"/>
          <w:jc w:val="center"/>
        </w:trPr>
        <w:tc>
          <w:tcPr>
            <w:tcW w:w="1735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Fibras (g)</w:t>
            </w:r>
          </w:p>
        </w:tc>
        <w:tc>
          <w:tcPr>
            <w:tcW w:w="7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27,6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25,4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18,7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35,8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18,6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16,7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3,7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color w:val="000000"/>
                <w:sz w:val="20"/>
                <w:szCs w:val="20"/>
                <w:lang w:eastAsia="pt-BR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3,9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3,1</w:t>
            </w: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vAlign w:val="center"/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color w:val="000000"/>
                <w:sz w:val="20"/>
                <w:szCs w:val="20"/>
                <w:lang w:eastAsia="pt-BR"/>
              </w:rPr>
              <w:t>4,8</w:t>
            </w:r>
          </w:p>
        </w:tc>
      </w:tr>
      <w:tr w:rsidR="002871D1" w:rsidRPr="0027232B" w:rsidTr="00A609DE">
        <w:trPr>
          <w:trHeight w:val="1134"/>
          <w:jc w:val="center"/>
        </w:trPr>
        <w:tc>
          <w:tcPr>
            <w:tcW w:w="14640" w:type="dxa"/>
            <w:gridSpan w:val="17"/>
            <w:tcBorders>
              <w:bottom w:val="nil"/>
            </w:tcBorders>
          </w:tcPr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 xml:space="preserve">G1, alimentos </w:t>
            </w:r>
            <w:r w:rsidRPr="00911741">
              <w:rPr>
                <w:i/>
                <w:sz w:val="20"/>
                <w:szCs w:val="20"/>
              </w:rPr>
              <w:t>in natura</w:t>
            </w:r>
            <w:r w:rsidRPr="00911741">
              <w:rPr>
                <w:sz w:val="20"/>
                <w:szCs w:val="20"/>
              </w:rPr>
              <w:t xml:space="preserve"> e/ou minimamente processados.</w:t>
            </w:r>
          </w:p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G2, alimentos processados e/ou ingredientes culinários.</w:t>
            </w:r>
          </w:p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 xml:space="preserve">G3, alimentos </w:t>
            </w:r>
            <w:proofErr w:type="spellStart"/>
            <w:r w:rsidRPr="00911741">
              <w:rPr>
                <w:sz w:val="20"/>
                <w:szCs w:val="20"/>
              </w:rPr>
              <w:t>ultraprocessados</w:t>
            </w:r>
            <w:proofErr w:type="spellEnd"/>
            <w:r w:rsidRPr="00911741">
              <w:rPr>
                <w:sz w:val="20"/>
                <w:szCs w:val="20"/>
              </w:rPr>
              <w:t>.</w:t>
            </w:r>
          </w:p>
          <w:p w:rsidR="002871D1" w:rsidRPr="0091174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DP, desvio-padrão.</w:t>
            </w:r>
          </w:p>
          <w:p w:rsidR="002871D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IQR, intervalo interquartil.</w:t>
            </w:r>
          </w:p>
          <w:p w:rsidR="002871D1" w:rsidRDefault="002871D1" w:rsidP="00A609DE">
            <w:pPr>
              <w:spacing w:after="0" w:line="240" w:lineRule="auto"/>
              <w:rPr>
                <w:sz w:val="20"/>
                <w:szCs w:val="20"/>
              </w:rPr>
            </w:pPr>
          </w:p>
          <w:p w:rsidR="002871D1" w:rsidRDefault="003808DD" w:rsidP="00A609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lang w:eastAsia="pt-BR"/>
              </w:rPr>
              <w:t>Fonte: O</w:t>
            </w:r>
            <w:r w:rsidR="00173C6A">
              <w:rPr>
                <w:rFonts w:eastAsia="Times New Roman"/>
                <w:lang w:eastAsia="pt-BR"/>
              </w:rPr>
              <w:t>s autores (2017</w:t>
            </w:r>
            <w:r w:rsidR="002871D1">
              <w:rPr>
                <w:rFonts w:eastAsia="Times New Roman"/>
                <w:lang w:eastAsia="pt-BR"/>
              </w:rPr>
              <w:t>).</w:t>
            </w:r>
          </w:p>
          <w:p w:rsidR="002871D1" w:rsidRPr="009E54F8" w:rsidRDefault="002871D1" w:rsidP="00A609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5C2D74">
      <w:pPr>
        <w:spacing w:after="0" w:line="480" w:lineRule="auto"/>
        <w:ind w:firstLine="709"/>
        <w:jc w:val="both"/>
        <w:rPr>
          <w:lang w:eastAsia="pt-BR"/>
        </w:rPr>
      </w:pPr>
    </w:p>
    <w:p w:rsidR="002871D1" w:rsidRDefault="002871D1" w:rsidP="002871D1">
      <w:pPr>
        <w:tabs>
          <w:tab w:val="left" w:pos="4425"/>
        </w:tabs>
        <w:spacing w:after="0" w:line="480" w:lineRule="auto"/>
        <w:jc w:val="both"/>
        <w:rPr>
          <w:lang w:eastAsia="pt-BR"/>
        </w:rPr>
      </w:pPr>
    </w:p>
    <w:p w:rsidR="002871D1" w:rsidRDefault="002871D1" w:rsidP="00C95554">
      <w:pPr>
        <w:spacing w:after="0" w:line="480" w:lineRule="auto"/>
        <w:jc w:val="both"/>
        <w:rPr>
          <w:lang w:eastAsia="pt-BR"/>
        </w:rPr>
      </w:pPr>
    </w:p>
    <w:p w:rsidR="002871D1" w:rsidRDefault="002871D1" w:rsidP="002871D1">
      <w:pPr>
        <w:spacing w:after="0" w:line="480" w:lineRule="auto"/>
        <w:jc w:val="both"/>
        <w:rPr>
          <w:lang w:eastAsia="pt-BR"/>
        </w:rPr>
        <w:sectPr w:rsidR="002871D1" w:rsidSect="002871D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3A4ADB" w:rsidRDefault="009947C6" w:rsidP="003A4ADB">
      <w:pPr>
        <w:spacing w:after="0" w:line="480" w:lineRule="auto"/>
        <w:ind w:firstLine="709"/>
        <w:jc w:val="both"/>
      </w:pPr>
      <w:r w:rsidRPr="00E8625E">
        <w:rPr>
          <w:lang w:eastAsia="pt-BR"/>
        </w:rPr>
        <w:lastRenderedPageBreak/>
        <w:t xml:space="preserve">Na Figura 1 observa-se </w:t>
      </w:r>
      <w:r w:rsidRPr="00E8625E">
        <w:t xml:space="preserve">maior contribuição percentual de consumo energético, de </w:t>
      </w:r>
      <w:proofErr w:type="spellStart"/>
      <w:r w:rsidRPr="00E8625E">
        <w:t>macronutrientes</w:t>
      </w:r>
      <w:proofErr w:type="spellEnd"/>
      <w:r w:rsidRPr="00E8625E">
        <w:t xml:space="preserve"> e de fibras na fração correspondente aos alimentos do grupo G1. </w:t>
      </w:r>
      <w:r w:rsidRPr="00E8625E">
        <w:rPr>
          <w:lang w:eastAsia="pt-BR"/>
        </w:rPr>
        <w:t>Embora metade (50,0%) das calorias ingeridas pelos participantes com excesso de peso tenha sido proveniente</w:t>
      </w:r>
      <w:r w:rsidRPr="00E8625E">
        <w:t xml:space="preserve"> do grupo G1, quando são considerados em conjunto os consumos de energia provenientes de alimentos do grupo G2 (23,6%) e do grupo G3 (26,1%), os valores se igualam (50,0%). Em relação ao consumo de carboidratos, evidencia-se que 54,0% foram provenientes do grupo G1, 19,1% do grupo G2 e 27,3% do grupo G3, porém se considerado os grupos G2 e G3 juntos, o percentual de consumo praticamente se iguala ao G1 (46,0%). Esse perfil se agrava quando comparamos a ingestão de lipídeos e de fibras alimentares. Na qual 41,0% do consumo de lipídeos se encontram no G1, e quando considerado G2 (33,0%) e G3 (26,0%) em conjunto o percentual de consumo ultrapassa o correspondente aos alimentos do grupo G1. Já em relação </w:t>
      </w:r>
      <w:proofErr w:type="gramStart"/>
      <w:r w:rsidRPr="00E8625E">
        <w:t>as</w:t>
      </w:r>
      <w:proofErr w:type="gramEnd"/>
      <w:r w:rsidRPr="00E8625E">
        <w:t xml:space="preserve"> fibras, observou-se que somente 10,0% e 15,0% do consumo corresponde aos alimentos dos grupos G2 e G3, respectivamente.</w:t>
      </w:r>
    </w:p>
    <w:p w:rsidR="00C95554" w:rsidRDefault="00C95554" w:rsidP="00C95554">
      <w:pPr>
        <w:spacing w:after="0" w:line="480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5"/>
      </w:tblGrid>
      <w:tr w:rsidR="00C95554" w:rsidRPr="00C335D6" w:rsidTr="003808DD">
        <w:trPr>
          <w:trHeight w:val="845"/>
        </w:trPr>
        <w:tc>
          <w:tcPr>
            <w:tcW w:w="8225" w:type="dxa"/>
            <w:shd w:val="clear" w:color="auto" w:fill="auto"/>
            <w:vAlign w:val="center"/>
          </w:tcPr>
          <w:p w:rsidR="00C95554" w:rsidRDefault="00C95554" w:rsidP="00380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2B0B2C1" wp14:editId="0FC6689D">
                  <wp:extent cx="3924300" cy="20193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6BF" w:rsidRDefault="008356BF" w:rsidP="00C95554">
            <w:pPr>
              <w:spacing w:after="0" w:line="240" w:lineRule="auto"/>
              <w:rPr>
                <w:sz w:val="20"/>
                <w:szCs w:val="20"/>
              </w:rPr>
            </w:pPr>
          </w:p>
          <w:p w:rsidR="008356BF" w:rsidRPr="008356BF" w:rsidRDefault="008356BF" w:rsidP="008356BF">
            <w:pPr>
              <w:spacing w:after="0" w:line="480" w:lineRule="auto"/>
              <w:ind w:firstLine="709"/>
              <w:jc w:val="center"/>
              <w:rPr>
                <w:b/>
              </w:rPr>
            </w:pPr>
            <w:r w:rsidRPr="008356BF">
              <w:rPr>
                <w:b/>
              </w:rPr>
              <w:t>FIGURA 1.</w:t>
            </w:r>
          </w:p>
          <w:p w:rsidR="008356BF" w:rsidRDefault="008356BF" w:rsidP="00835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56BF">
              <w:t xml:space="preserve">Consumo de energia, </w:t>
            </w:r>
            <w:proofErr w:type="spellStart"/>
            <w:r w:rsidRPr="008356BF">
              <w:t>macronutrientes</w:t>
            </w:r>
            <w:proofErr w:type="spellEnd"/>
            <w:r w:rsidRPr="008356BF">
              <w:t xml:space="preserve"> e fibras, </w:t>
            </w:r>
            <w:r>
              <w:t xml:space="preserve">segundo o grau de processamento </w:t>
            </w:r>
            <w:r w:rsidRPr="008356BF">
              <w:t xml:space="preserve">dos </w:t>
            </w:r>
            <w:proofErr w:type="gramStart"/>
            <w:r w:rsidRPr="008356BF">
              <w:t>alimentos</w:t>
            </w:r>
            <w:proofErr w:type="gramEnd"/>
          </w:p>
          <w:p w:rsidR="008356BF" w:rsidRDefault="008356BF" w:rsidP="00C95554">
            <w:pPr>
              <w:spacing w:after="0" w:line="240" w:lineRule="auto"/>
              <w:rPr>
                <w:sz w:val="20"/>
                <w:szCs w:val="20"/>
              </w:rPr>
            </w:pPr>
          </w:p>
          <w:p w:rsidR="00C95554" w:rsidRDefault="00C95554" w:rsidP="00C95554">
            <w:pPr>
              <w:spacing w:after="0" w:line="240" w:lineRule="auto"/>
              <w:rPr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 xml:space="preserve">G1, alimentos </w:t>
            </w:r>
            <w:r w:rsidRPr="00911741">
              <w:rPr>
                <w:i/>
                <w:sz w:val="20"/>
                <w:szCs w:val="20"/>
              </w:rPr>
              <w:t>in natura</w:t>
            </w:r>
            <w:r>
              <w:rPr>
                <w:sz w:val="20"/>
                <w:szCs w:val="20"/>
              </w:rPr>
              <w:t xml:space="preserve"> e/ou minimamente processados.</w:t>
            </w:r>
          </w:p>
          <w:p w:rsidR="00C95554" w:rsidRDefault="00C95554" w:rsidP="00C95554">
            <w:pPr>
              <w:spacing w:after="0" w:line="240" w:lineRule="auto"/>
              <w:rPr>
                <w:rFonts w:ascii="Arial" w:hAnsi="Arial" w:cs="Arial"/>
              </w:rPr>
            </w:pPr>
            <w:r w:rsidRPr="00911741">
              <w:rPr>
                <w:sz w:val="20"/>
                <w:szCs w:val="20"/>
              </w:rPr>
              <w:t>G2, alimentos processados e/ou ingredientes culinários.</w:t>
            </w:r>
          </w:p>
          <w:p w:rsidR="00C95554" w:rsidRPr="00C95554" w:rsidRDefault="00C95554" w:rsidP="00C95554">
            <w:pPr>
              <w:spacing w:after="0" w:line="240" w:lineRule="auto"/>
              <w:rPr>
                <w:rFonts w:ascii="Arial" w:hAnsi="Arial" w:cs="Arial"/>
              </w:rPr>
            </w:pPr>
            <w:r w:rsidRPr="00911741">
              <w:rPr>
                <w:sz w:val="20"/>
                <w:szCs w:val="20"/>
              </w:rPr>
              <w:t xml:space="preserve">G3, alimentos </w:t>
            </w:r>
            <w:proofErr w:type="spellStart"/>
            <w:r w:rsidRPr="00911741">
              <w:rPr>
                <w:sz w:val="20"/>
                <w:szCs w:val="20"/>
              </w:rPr>
              <w:t>ultraprocessados</w:t>
            </w:r>
            <w:proofErr w:type="spellEnd"/>
            <w:r w:rsidRPr="00911741">
              <w:rPr>
                <w:sz w:val="20"/>
                <w:szCs w:val="20"/>
              </w:rPr>
              <w:t>.</w:t>
            </w:r>
          </w:p>
          <w:p w:rsidR="00C95554" w:rsidRDefault="00C95554" w:rsidP="00C95554">
            <w:pPr>
              <w:pStyle w:val="SemEspaamento"/>
              <w:rPr>
                <w:rFonts w:ascii="Times New Roman" w:hAnsi="Times New Roman"/>
              </w:rPr>
            </w:pPr>
            <w:r w:rsidRPr="00C95554">
              <w:rPr>
                <w:rFonts w:ascii="Times New Roman" w:hAnsi="Times New Roman"/>
              </w:rPr>
              <w:t xml:space="preserve">Para o cálculo </w:t>
            </w:r>
            <w:proofErr w:type="gramStart"/>
            <w:r w:rsidRPr="00C95554">
              <w:rPr>
                <w:rFonts w:ascii="Times New Roman" w:hAnsi="Times New Roman"/>
              </w:rPr>
              <w:t>do consumo alimentar</w:t>
            </w:r>
            <w:proofErr w:type="gramEnd"/>
            <w:r w:rsidRPr="00C95554">
              <w:rPr>
                <w:rFonts w:ascii="Times New Roman" w:hAnsi="Times New Roman"/>
              </w:rPr>
              <w:t xml:space="preserve"> de energia, </w:t>
            </w:r>
            <w:proofErr w:type="spellStart"/>
            <w:r w:rsidRPr="00C95554">
              <w:rPr>
                <w:rFonts w:ascii="Times New Roman" w:hAnsi="Times New Roman"/>
              </w:rPr>
              <w:t>macronutrientes</w:t>
            </w:r>
            <w:proofErr w:type="spellEnd"/>
            <w:r w:rsidRPr="00C95554">
              <w:rPr>
                <w:rFonts w:ascii="Times New Roman" w:hAnsi="Times New Roman"/>
              </w:rPr>
              <w:t xml:space="preserve"> e</w:t>
            </w:r>
            <w:r>
              <w:rPr>
                <w:rFonts w:ascii="Times New Roman" w:hAnsi="Times New Roman"/>
              </w:rPr>
              <w:t xml:space="preserve"> fibras, utilizou-se o </w:t>
            </w:r>
            <w:r w:rsidRPr="00C95554">
              <w:rPr>
                <w:rFonts w:ascii="Times New Roman" w:hAnsi="Times New Roman"/>
              </w:rPr>
              <w:t>valor da mediana.</w:t>
            </w:r>
          </w:p>
          <w:p w:rsidR="00C95554" w:rsidRDefault="00C95554" w:rsidP="00C95554">
            <w:pPr>
              <w:pStyle w:val="SemEspaamento"/>
              <w:rPr>
                <w:rFonts w:ascii="Times New Roman" w:hAnsi="Times New Roman"/>
              </w:rPr>
            </w:pPr>
          </w:p>
          <w:p w:rsidR="00C95554" w:rsidRDefault="003808DD" w:rsidP="003808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lang w:eastAsia="pt-BR"/>
              </w:rPr>
              <w:lastRenderedPageBreak/>
              <w:t>Fonte: O</w:t>
            </w:r>
            <w:r w:rsidR="00173C6A">
              <w:rPr>
                <w:rFonts w:eastAsia="Times New Roman"/>
                <w:lang w:eastAsia="pt-BR"/>
              </w:rPr>
              <w:t>s autores (2017</w:t>
            </w:r>
            <w:r w:rsidR="00C95554">
              <w:rPr>
                <w:rFonts w:eastAsia="Times New Roman"/>
                <w:lang w:eastAsia="pt-BR"/>
              </w:rPr>
              <w:t>).</w:t>
            </w:r>
          </w:p>
          <w:p w:rsidR="003808DD" w:rsidRDefault="003808DD" w:rsidP="003808DD">
            <w:pPr>
              <w:spacing w:after="0" w:line="240" w:lineRule="auto"/>
              <w:rPr>
                <w:sz w:val="20"/>
                <w:szCs w:val="20"/>
              </w:rPr>
            </w:pPr>
          </w:p>
          <w:p w:rsidR="003808DD" w:rsidRPr="003808DD" w:rsidRDefault="003808DD" w:rsidP="003808DD">
            <w:pPr>
              <w:spacing w:after="0" w:line="240" w:lineRule="auto"/>
              <w:rPr>
                <w:b/>
                <w:szCs w:val="24"/>
              </w:rPr>
            </w:pPr>
            <w:proofErr w:type="gramStart"/>
            <w:r w:rsidRPr="003808DD">
              <w:rPr>
                <w:b/>
                <w:szCs w:val="24"/>
              </w:rPr>
              <w:t>4</w:t>
            </w:r>
            <w:proofErr w:type="gramEnd"/>
            <w:r w:rsidRPr="003808DD">
              <w:rPr>
                <w:b/>
                <w:szCs w:val="24"/>
              </w:rPr>
              <w:t xml:space="preserve"> DISCUSSÃO</w:t>
            </w:r>
          </w:p>
        </w:tc>
      </w:tr>
      <w:tr w:rsidR="00C95554" w:rsidTr="003808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8225" w:type="dxa"/>
            <w:vAlign w:val="center"/>
          </w:tcPr>
          <w:p w:rsidR="00C95554" w:rsidRDefault="00C95554" w:rsidP="00C95554">
            <w:pPr>
              <w:spacing w:after="0" w:line="480" w:lineRule="auto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9947C6" w:rsidRPr="00E8625E" w:rsidRDefault="009947C6" w:rsidP="003808DD">
      <w:pPr>
        <w:spacing w:after="0" w:line="480" w:lineRule="auto"/>
        <w:ind w:firstLine="708"/>
        <w:jc w:val="both"/>
      </w:pPr>
      <w:r w:rsidRPr="00E8625E">
        <w:t xml:space="preserve">Os resultados deste estudo mostraram percentuais expressivos de ingestão de alimentos processados e </w:t>
      </w:r>
      <w:proofErr w:type="spellStart"/>
      <w:r w:rsidRPr="00E8625E">
        <w:t>ultraprocessados</w:t>
      </w:r>
      <w:proofErr w:type="spellEnd"/>
      <w:r w:rsidRPr="00E8625E">
        <w:t xml:space="preserve"> na alimentação de indivíduos com excesso de peso. Isso confirma o seu impacto negativo na qualidade da alimentação destes, uma vez que estes alimentos, normalmente apresentam alta densidade energética e baixa qualidade nutricional, que podem colaborar para o desenvolvimento do excesso de peso corporal. 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  <w:r w:rsidRPr="00E8625E">
        <w:t>Quando analisado o perfil quantitativo de ingestão alimentar, foi verificado que a ingestão energética mediana relatada foi de 2002 kcal, sendo que o teor de carboidratos, proteínas e lipídeos da dieta dos indivíduos avaliados, encontrou-se dentro dos valores de AMDR (</w:t>
      </w:r>
      <w:proofErr w:type="spellStart"/>
      <w:r w:rsidRPr="00E8625E">
        <w:rPr>
          <w:i/>
        </w:rPr>
        <w:t>Acceptable</w:t>
      </w:r>
      <w:proofErr w:type="spellEnd"/>
      <w:r w:rsidRPr="00E8625E">
        <w:rPr>
          <w:i/>
        </w:rPr>
        <w:t xml:space="preserve"> </w:t>
      </w:r>
      <w:proofErr w:type="spellStart"/>
      <w:r w:rsidRPr="00E8625E">
        <w:rPr>
          <w:i/>
        </w:rPr>
        <w:t>Macronutrient</w:t>
      </w:r>
      <w:proofErr w:type="spellEnd"/>
      <w:r w:rsidRPr="00E8625E">
        <w:rPr>
          <w:i/>
        </w:rPr>
        <w:t xml:space="preserve"> </w:t>
      </w:r>
      <w:proofErr w:type="spellStart"/>
      <w:r w:rsidRPr="00E8625E">
        <w:rPr>
          <w:i/>
        </w:rPr>
        <w:t>Distribution</w:t>
      </w:r>
      <w:proofErr w:type="spellEnd"/>
      <w:r w:rsidRPr="00E8625E">
        <w:rPr>
          <w:i/>
        </w:rPr>
        <w:t xml:space="preserve"> Range</w:t>
      </w:r>
      <w:r w:rsidR="003A4ADB">
        <w:t xml:space="preserve">) recomendados pela DRI (PADOVANI </w:t>
      </w:r>
      <w:proofErr w:type="gramStart"/>
      <w:r w:rsidR="003A4ADB">
        <w:t>et</w:t>
      </w:r>
      <w:proofErr w:type="gramEnd"/>
      <w:r w:rsidR="003A4ADB">
        <w:t xml:space="preserve"> al., 2006)</w:t>
      </w:r>
      <w:r w:rsidRPr="00E8625E">
        <w:t>. Em relação ao teor de fibras alimentares, embora não tenha sido avaliada a ingestão deste nutriente de acordo com o sexo, pode-se perceber que a mediana de ingestão total (27,4 g/dia), está dentro do recomendado considerando o sexo feminino (25 g/dia) e abaixo para o sexo masculino (38 g/dia). Estes resulta</w:t>
      </w:r>
      <w:r w:rsidR="00630F80">
        <w:t>dos re</w:t>
      </w:r>
      <w:r w:rsidR="00EC571D">
        <w:t>forçam dados da literatura [24</w:t>
      </w:r>
      <w:r w:rsidR="00630F80">
        <w:t>]</w:t>
      </w:r>
      <w:r w:rsidRPr="00E8625E">
        <w:t xml:space="preserve">, de que a avaliação da ingestão alimentar considerando apenas o teor de nutrientes é incapaz de explicar toda a influência do consumo alimentar sobre a epidemia da obesidade. </w:t>
      </w:r>
      <w:r w:rsidR="00EC571D">
        <w:t xml:space="preserve"> </w:t>
      </w:r>
    </w:p>
    <w:p w:rsidR="009947C6" w:rsidRPr="00E8625E" w:rsidRDefault="009947C6" w:rsidP="003808DD">
      <w:pPr>
        <w:spacing w:after="0" w:line="480" w:lineRule="auto"/>
        <w:jc w:val="both"/>
      </w:pPr>
      <w:r w:rsidRPr="00E8625E">
        <w:tab/>
        <w:t xml:space="preserve">Dessa forma, no presente estudo foi analisado o consumo alimentar classificando os alimentos segundo o grau de processamento, sendo evidenciado que o consumo de alimentos </w:t>
      </w:r>
      <w:proofErr w:type="spellStart"/>
      <w:r w:rsidRPr="00E8625E">
        <w:t>ultraprocessados</w:t>
      </w:r>
      <w:proofErr w:type="spellEnd"/>
      <w:r w:rsidRPr="00E8625E">
        <w:t xml:space="preserve"> responde por quase um terço (26,1%) da ingestão energética dos indivíduos com excesso de peso, e esse valor aumenta para metade quando consideramos o consumo de processados e </w:t>
      </w:r>
      <w:proofErr w:type="spellStart"/>
      <w:r w:rsidRPr="00E8625E">
        <w:t>ultraprocessados</w:t>
      </w:r>
      <w:proofErr w:type="spellEnd"/>
      <w:r w:rsidRPr="00E8625E">
        <w:t xml:space="preserve"> em conjunto, se igualando ao dos alimentos </w:t>
      </w:r>
      <w:r w:rsidRPr="00E8625E">
        <w:rPr>
          <w:i/>
        </w:rPr>
        <w:t>in natura</w:t>
      </w:r>
      <w:r w:rsidRPr="00E8625E">
        <w:t xml:space="preserve"> ou minimamente processados. 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  <w:r w:rsidRPr="00E8625E">
        <w:t xml:space="preserve">Estudos que avaliaram a associação entre consumo de alimentos </w:t>
      </w:r>
      <w:proofErr w:type="spellStart"/>
      <w:r w:rsidRPr="00E8625E">
        <w:t>ultraprocessados</w:t>
      </w:r>
      <w:proofErr w:type="spellEnd"/>
      <w:r w:rsidRPr="00E8625E">
        <w:t xml:space="preserve"> e morbimortalidade ainda </w:t>
      </w:r>
      <w:r w:rsidRPr="003617C4">
        <w:t xml:space="preserve">são poucos devido à recente definição da classificação dos alimentos </w:t>
      </w:r>
      <w:r w:rsidRPr="003617C4">
        <w:lastRenderedPageBreak/>
        <w:t>segundo o grau de processamento</w:t>
      </w:r>
      <w:r w:rsidR="003A4ADB">
        <w:t xml:space="preserve"> (MONTEIRO, 2009; MINISTÉRIO DA SAÚDE, 2014; </w:t>
      </w:r>
      <w:r w:rsidR="003A4ADB" w:rsidRPr="00E8625E">
        <w:rPr>
          <w:szCs w:val="24"/>
        </w:rPr>
        <w:t>LOUZADA</w:t>
      </w:r>
      <w:r w:rsidR="003A4ADB">
        <w:rPr>
          <w:szCs w:val="24"/>
        </w:rPr>
        <w:t xml:space="preserve"> </w:t>
      </w:r>
      <w:proofErr w:type="gramStart"/>
      <w:r w:rsidR="003A4ADB">
        <w:rPr>
          <w:szCs w:val="24"/>
        </w:rPr>
        <w:t>et</w:t>
      </w:r>
      <w:proofErr w:type="gramEnd"/>
      <w:r w:rsidR="003A4ADB">
        <w:rPr>
          <w:szCs w:val="24"/>
        </w:rPr>
        <w:t xml:space="preserve"> al., 2015a</w:t>
      </w:r>
      <w:r w:rsidR="003A4ADB">
        <w:t>)</w:t>
      </w:r>
      <w:r w:rsidRPr="003617C4">
        <w:t xml:space="preserve">. Entretanto, no Brasil alguns autores sugerem associações significativas do consumo de alimentos </w:t>
      </w:r>
      <w:proofErr w:type="spellStart"/>
      <w:r w:rsidRPr="003617C4">
        <w:t>ultraprocessados</w:t>
      </w:r>
      <w:proofErr w:type="spellEnd"/>
      <w:r w:rsidRPr="00E8625E">
        <w:t xml:space="preserve"> com a sín</w:t>
      </w:r>
      <w:r w:rsidR="00EC571D">
        <w:t xml:space="preserve">drome metabólica em adolescentes </w:t>
      </w:r>
      <w:r w:rsidRPr="00E8625E">
        <w:t>e com obesidade em adoles</w:t>
      </w:r>
      <w:r w:rsidR="003A4ADB">
        <w:t xml:space="preserve">centes e adultos (LOUZADA </w:t>
      </w:r>
      <w:proofErr w:type="gramStart"/>
      <w:r w:rsidR="003A4ADB">
        <w:t>et</w:t>
      </w:r>
      <w:proofErr w:type="gramEnd"/>
      <w:r w:rsidR="003A4ADB">
        <w:t xml:space="preserve"> al., 2015a; TAVARES et al., 2012; CANELLA et al., 2014)</w:t>
      </w:r>
      <w:r w:rsidRPr="00E8625E">
        <w:t>.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  <w:r w:rsidRPr="00E8625E">
        <w:t xml:space="preserve">Louzada </w:t>
      </w:r>
      <w:proofErr w:type="gramStart"/>
      <w:r w:rsidRPr="00E8625E">
        <w:rPr>
          <w:i/>
        </w:rPr>
        <w:t>et</w:t>
      </w:r>
      <w:proofErr w:type="gramEnd"/>
      <w:r w:rsidRPr="00E8625E">
        <w:rPr>
          <w:i/>
        </w:rPr>
        <w:t xml:space="preserve"> al.</w:t>
      </w:r>
      <w:r w:rsidR="002572F3">
        <w:t xml:space="preserve"> (2015</w:t>
      </w:r>
      <w:r w:rsidR="003A4ADB">
        <w:t xml:space="preserve"> b)</w:t>
      </w:r>
      <w:r w:rsidRPr="00E8625E">
        <w:t>, analisando dados 34.000 indivíduos brasileiros maiores de 10 anos idade obtidos da Pe</w:t>
      </w:r>
      <w:r>
        <w:t>squisa de Orçamentos Familiares</w:t>
      </w:r>
      <w:r w:rsidRPr="00E8625E">
        <w:t xml:space="preserve">, evidenciaram contribuição percentual (29,6%) para consumo energético advindos dos alimentos </w:t>
      </w:r>
      <w:proofErr w:type="spellStart"/>
      <w:r w:rsidRPr="00E8625E">
        <w:t>ultraprocessados</w:t>
      </w:r>
      <w:proofErr w:type="spellEnd"/>
      <w:r w:rsidRPr="00E8625E">
        <w:t xml:space="preserve">, semelhante ao observado no presente estudo. Os autores encontraram também associação entre a ingestão de alimentos </w:t>
      </w:r>
      <w:proofErr w:type="spellStart"/>
      <w:r w:rsidRPr="00E8625E">
        <w:t>ultraprocessados</w:t>
      </w:r>
      <w:proofErr w:type="spellEnd"/>
      <w:r w:rsidRPr="00E8625E">
        <w:t xml:space="preserve"> e excesso de peso corporal entre adolescentes e adultos brasileiros, dados estes que dão suporte ao papel dos alimentos </w:t>
      </w:r>
      <w:proofErr w:type="spellStart"/>
      <w:r w:rsidRPr="00E8625E">
        <w:t>ultraprocessados</w:t>
      </w:r>
      <w:proofErr w:type="spellEnd"/>
      <w:r w:rsidRPr="00E8625E">
        <w:t xml:space="preserve"> na epidemia da obesidade no Brasil.</w:t>
      </w:r>
    </w:p>
    <w:p w:rsidR="009947C6" w:rsidRPr="00C77A38" w:rsidRDefault="009947C6" w:rsidP="005C2D74">
      <w:pPr>
        <w:spacing w:after="0" w:line="480" w:lineRule="auto"/>
        <w:ind w:firstLine="709"/>
        <w:jc w:val="both"/>
      </w:pPr>
      <w:r w:rsidRPr="00C77A38">
        <w:t xml:space="preserve">Nossos achados são corroborados também com estudos de outros países. Nos Estados Unidos foi evidenciado alto consumo de alguns alimentos considerados </w:t>
      </w:r>
      <w:proofErr w:type="spellStart"/>
      <w:r w:rsidRPr="00C77A38">
        <w:t>ultraprocessados</w:t>
      </w:r>
      <w:proofErr w:type="spellEnd"/>
      <w:r w:rsidRPr="00C77A38">
        <w:t>, como batata chips e carnes processadas, e que estes mostraram associação positiva com a obesidade, enquanto a ingestão de alimentos in natura, tais como frutas e vegetais, mostraram associação protetor</w:t>
      </w:r>
      <w:r w:rsidR="002572F3">
        <w:t>a par</w:t>
      </w:r>
      <w:r w:rsidR="00E05D7B">
        <w:t xml:space="preserve">a a ocorrência dessa doença (MONTEIRO, 2009). Pereira </w:t>
      </w:r>
      <w:proofErr w:type="gramStart"/>
      <w:r w:rsidR="00E05D7B">
        <w:t>et</w:t>
      </w:r>
      <w:proofErr w:type="gramEnd"/>
      <w:r w:rsidR="00E05D7B">
        <w:t xml:space="preserve"> al. (2005)</w:t>
      </w:r>
      <w:r w:rsidRPr="00C77A38">
        <w:t xml:space="preserve"> mostrou em estudo prospectivo que o consumo de </w:t>
      </w:r>
      <w:proofErr w:type="spellStart"/>
      <w:r w:rsidRPr="00895285">
        <w:rPr>
          <w:i/>
        </w:rPr>
        <w:t>fast</w:t>
      </w:r>
      <w:proofErr w:type="spellEnd"/>
      <w:r w:rsidRPr="00895285">
        <w:rPr>
          <w:i/>
        </w:rPr>
        <w:t xml:space="preserve"> </w:t>
      </w:r>
      <w:proofErr w:type="spellStart"/>
      <w:r w:rsidRPr="00895285">
        <w:rPr>
          <w:i/>
        </w:rPr>
        <w:t>foods</w:t>
      </w:r>
      <w:proofErr w:type="spellEnd"/>
      <w:r w:rsidRPr="00C77A38">
        <w:t xml:space="preserve"> entre adultos, foi associado com mudanças no peso corporal e resistência a insulina</w:t>
      </w:r>
      <w:r w:rsidR="00E05D7B">
        <w:t xml:space="preserve"> (MOZAFFARIAN, 2011)</w:t>
      </w:r>
      <w:r w:rsidRPr="00C77A38">
        <w:t>.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  <w:r w:rsidRPr="00E8625E">
        <w:t xml:space="preserve">No presente estudo, foi evidenciado que quase um terço dos carboidratos (27,3%) e dos lipídeos (26%) consumidos foi proveniente somente dos alimentos </w:t>
      </w:r>
      <w:proofErr w:type="spellStart"/>
      <w:r w:rsidRPr="00E8625E">
        <w:t>ultraprocessados</w:t>
      </w:r>
      <w:proofErr w:type="spellEnd"/>
      <w:r w:rsidRPr="00E8625E">
        <w:t xml:space="preserve">. Quando considerados em conjunto com os alimentos processados, os valores de consumo para carboidratos praticamente se igualam ao consumo proveniente dos alimentos </w:t>
      </w:r>
      <w:r w:rsidRPr="00E8625E">
        <w:rPr>
          <w:i/>
        </w:rPr>
        <w:t>in natura</w:t>
      </w:r>
      <w:r w:rsidRPr="00E8625E">
        <w:t xml:space="preserve"> ou minimamente processados e o de lipídeos ultrapassam. O consumo de fibras a partir dos alimentos processados e </w:t>
      </w:r>
      <w:proofErr w:type="spellStart"/>
      <w:r w:rsidRPr="00E8625E">
        <w:t>ultraprocessados</w:t>
      </w:r>
      <w:proofErr w:type="spellEnd"/>
      <w:r w:rsidRPr="00E8625E">
        <w:t xml:space="preserve"> é extremamente </w:t>
      </w:r>
      <w:proofErr w:type="gramStart"/>
      <w:r w:rsidRPr="00E8625E">
        <w:t>baixo</w:t>
      </w:r>
      <w:proofErr w:type="gramEnd"/>
      <w:r w:rsidRPr="00E8625E">
        <w:t xml:space="preserve">.  Estes resultados reforçam </w:t>
      </w:r>
      <w:r w:rsidRPr="00E8625E">
        <w:lastRenderedPageBreak/>
        <w:t xml:space="preserve">dados da literatura atual, que também mostram que os alimentos processados e, principalmente os </w:t>
      </w:r>
      <w:proofErr w:type="spellStart"/>
      <w:r w:rsidRPr="00E8625E">
        <w:t>ultraprocessados</w:t>
      </w:r>
      <w:proofErr w:type="spellEnd"/>
      <w:r w:rsidRPr="00E8625E">
        <w:t>, contribuem para que o perfil nutricional seja desfavorável que pode c</w:t>
      </w:r>
      <w:r w:rsidR="002572F3">
        <w:t>ontribuir p</w:t>
      </w:r>
      <w:r w:rsidR="00E05D7B">
        <w:t xml:space="preserve">ara o excesso de peso (CLARO </w:t>
      </w:r>
      <w:proofErr w:type="gramStart"/>
      <w:r w:rsidR="00E05D7B">
        <w:t>et</w:t>
      </w:r>
      <w:proofErr w:type="gramEnd"/>
      <w:r w:rsidR="00E05D7B">
        <w:t xml:space="preserve"> al., 2015; LOUZADA et al., 2015 b; </w:t>
      </w:r>
      <w:r w:rsidR="00E05D7B" w:rsidRPr="005F66CD">
        <w:rPr>
          <w:rFonts w:eastAsia="Times New Roman"/>
          <w:szCs w:val="24"/>
          <w:lang w:eastAsia="pt-BR"/>
        </w:rPr>
        <w:t>ZOBEL et al., 2016</w:t>
      </w:r>
      <w:r w:rsidR="00E05D7B">
        <w:t>).</w:t>
      </w:r>
    </w:p>
    <w:p w:rsidR="009947C6" w:rsidRDefault="009947C6" w:rsidP="005C2D74">
      <w:pPr>
        <w:spacing w:after="0" w:line="480" w:lineRule="auto"/>
        <w:ind w:firstLine="709"/>
        <w:jc w:val="both"/>
      </w:pPr>
      <w:r w:rsidRPr="002572F3">
        <w:t xml:space="preserve">Os alimentos </w:t>
      </w:r>
      <w:proofErr w:type="spellStart"/>
      <w:r w:rsidRPr="00E8625E">
        <w:t>ultraprocessados</w:t>
      </w:r>
      <w:proofErr w:type="spellEnd"/>
      <w:r w:rsidRPr="00E8625E">
        <w:t xml:space="preserve"> normalmente apresentam altas densidades energéticas, que comprometem a capacidade do organismo humano de regular o balanço energético, aumentando com isso o risco de ganho excessivo de peso</w:t>
      </w:r>
      <w:r w:rsidR="002572F3">
        <w:rPr>
          <w:vertAlign w:val="superscript"/>
        </w:rPr>
        <w:t xml:space="preserve"> </w:t>
      </w:r>
      <w:r w:rsidR="00E05D7B">
        <w:t>(ROLLS, 2009)</w:t>
      </w:r>
      <w:r w:rsidRPr="00E8625E">
        <w:t xml:space="preserve">.  Além disso, as quantidades elevadas de açúcar livre na dieta, gordura total, </w:t>
      </w:r>
      <w:proofErr w:type="spellStart"/>
      <w:r w:rsidRPr="00E8625E">
        <w:t>trans</w:t>
      </w:r>
      <w:proofErr w:type="spellEnd"/>
      <w:r w:rsidRPr="00E8625E">
        <w:t xml:space="preserve"> e saturada, assim como menores quantidades de fibras alimentares, são algumas características desses alimentos</w:t>
      </w:r>
      <w:r w:rsidR="002572F3">
        <w:rPr>
          <w:vertAlign w:val="superscript"/>
        </w:rPr>
        <w:t xml:space="preserve"> </w:t>
      </w:r>
      <w:r w:rsidR="00E05D7B">
        <w:t xml:space="preserve">(MARTINS </w:t>
      </w:r>
      <w:proofErr w:type="gramStart"/>
      <w:r w:rsidR="00E05D7B">
        <w:t>et</w:t>
      </w:r>
      <w:proofErr w:type="gramEnd"/>
      <w:r w:rsidR="00E05D7B">
        <w:t xml:space="preserve"> al., 2013)</w:t>
      </w:r>
      <w:r w:rsidRPr="00E8625E">
        <w:t xml:space="preserve">.  Do mesmo modo, a elevada carga glicêmica desses alimentos colabora para o aumenta a secreção de insulina, que pode induzir a inflamação, intolerância à glicose, resistência à insulina, contribuindo para cronicidade da obesidade, bem como para o desenvolvimento de </w:t>
      </w:r>
      <w:proofErr w:type="spellStart"/>
      <w:r w:rsidRPr="00E8625E">
        <w:t>comorbidades</w:t>
      </w:r>
      <w:proofErr w:type="spellEnd"/>
      <w:r w:rsidRPr="00E8625E">
        <w:t xml:space="preserve"> associadas à obesidade, tais como diabetes </w:t>
      </w:r>
      <w:r w:rsidRPr="00E8625E">
        <w:rPr>
          <w:i/>
        </w:rPr>
        <w:t>mellitus</w:t>
      </w:r>
      <w:r w:rsidRPr="00E8625E">
        <w:t>, hipertensão a</w:t>
      </w:r>
      <w:r w:rsidR="002572F3">
        <w:t>rterial</w:t>
      </w:r>
      <w:r w:rsidR="00096539">
        <w:t xml:space="preserve">, alguns tipos de câncer </w:t>
      </w:r>
      <w:r w:rsidR="002A52EB">
        <w:t xml:space="preserve">(ROLL, 2009; LOUZADA </w:t>
      </w:r>
      <w:proofErr w:type="gramStart"/>
      <w:r w:rsidR="002A52EB">
        <w:t>et</w:t>
      </w:r>
      <w:proofErr w:type="gramEnd"/>
      <w:r w:rsidR="002A52EB">
        <w:t xml:space="preserve"> al., </w:t>
      </w:r>
      <w:r w:rsidR="00096539">
        <w:t>2015</w:t>
      </w:r>
      <w:r w:rsidR="002A52EB">
        <w:t>)</w:t>
      </w:r>
      <w:r w:rsidR="002572F3">
        <w:t>.</w:t>
      </w:r>
    </w:p>
    <w:p w:rsidR="009947C6" w:rsidRPr="000D3E92" w:rsidRDefault="009947C6" w:rsidP="005C2D74">
      <w:pPr>
        <w:spacing w:after="0" w:line="480" w:lineRule="auto"/>
        <w:ind w:firstLine="709"/>
        <w:jc w:val="both"/>
      </w:pPr>
      <w:r w:rsidRPr="000D3E92">
        <w:t xml:space="preserve">A alta densidade energética não é o único mecanismo que liga o consumo dos </w:t>
      </w:r>
      <w:proofErr w:type="spellStart"/>
      <w:proofErr w:type="gramStart"/>
      <w:r w:rsidRPr="000D3E92">
        <w:t>ultra-processados</w:t>
      </w:r>
      <w:proofErr w:type="spellEnd"/>
      <w:proofErr w:type="gramEnd"/>
      <w:r w:rsidRPr="000D3E92">
        <w:t xml:space="preserve"> à obesidade. Esses produtos que já estão prontos para o consumo apresentam </w:t>
      </w:r>
      <w:proofErr w:type="spellStart"/>
      <w:r w:rsidRPr="000D3E92">
        <w:t>hiperpalatabilidade</w:t>
      </w:r>
      <w:proofErr w:type="spellEnd"/>
      <w:r w:rsidRPr="000D3E92">
        <w:t>, estimulando o consumo mesmo quando o indivíduo já está saciado, além da adição de inúmeros aditivos químicos e a prática da oferta de porções gigantes, aliadas a estratégias agressivas de marketing, que os colocam como práticos para uma população cujo atual estilo de</w:t>
      </w:r>
      <w:r w:rsidR="002572F3">
        <w:t xml:space="preserve"> vida p</w:t>
      </w:r>
      <w:r w:rsidR="00096539">
        <w:t xml:space="preserve">redomina a falta de tempo (IFLAND </w:t>
      </w:r>
      <w:proofErr w:type="gramStart"/>
      <w:r w:rsidR="00096539">
        <w:t>et</w:t>
      </w:r>
      <w:proofErr w:type="gramEnd"/>
      <w:r w:rsidR="00096539">
        <w:t xml:space="preserve"> al., 2009</w:t>
      </w:r>
      <w:r w:rsidR="00E05D7B">
        <w:t xml:space="preserve">; </w:t>
      </w:r>
      <w:r w:rsidR="00E05D7B" w:rsidRPr="005F66CD">
        <w:rPr>
          <w:rFonts w:eastAsia="Times New Roman"/>
          <w:szCs w:val="24"/>
          <w:lang w:eastAsia="pt-BR"/>
        </w:rPr>
        <w:t>ZOBEL et al., 2016</w:t>
      </w:r>
      <w:r w:rsidR="00E05D7B">
        <w:t>)</w:t>
      </w:r>
      <w:r>
        <w:t>.</w:t>
      </w:r>
    </w:p>
    <w:p w:rsidR="009947C6" w:rsidRPr="00E8625E" w:rsidRDefault="009947C6" w:rsidP="005C2D74">
      <w:pPr>
        <w:spacing w:after="0" w:line="480" w:lineRule="auto"/>
        <w:ind w:firstLine="709"/>
        <w:jc w:val="both"/>
      </w:pPr>
      <w:r w:rsidRPr="00E8625E">
        <w:t xml:space="preserve">Fator associado ao consumo de alimentos processados e </w:t>
      </w:r>
      <w:proofErr w:type="spellStart"/>
      <w:r w:rsidRPr="00E8625E">
        <w:t>ultraprocessados</w:t>
      </w:r>
      <w:proofErr w:type="spellEnd"/>
      <w:r w:rsidRPr="00E8625E">
        <w:t>, que corrobora para a obesidade entre os indivíduos avaliados</w:t>
      </w:r>
      <w:r>
        <w:t xml:space="preserve"> no presente estudo</w:t>
      </w:r>
      <w:r w:rsidRPr="00E8625E">
        <w:t>, é o sedentarismo. Foi evidenciado que apesar de 40,9% (n=38) dos participantes relatarem praticar atividade física, somente 13,0% (n=5) faz</w:t>
      </w:r>
      <w:r w:rsidR="00096539">
        <w:t>em no tempo recomendado pela WHO</w:t>
      </w:r>
      <w:r w:rsidRPr="00E8625E">
        <w:t xml:space="preserve">, que </w:t>
      </w:r>
      <w:r w:rsidRPr="00E8625E">
        <w:lastRenderedPageBreak/>
        <w:t>é de pelo menos 150 minutos por semana</w:t>
      </w:r>
      <w:r w:rsidR="002572F3">
        <w:rPr>
          <w:vertAlign w:val="superscript"/>
        </w:rPr>
        <w:t xml:space="preserve"> </w:t>
      </w:r>
      <w:r w:rsidR="00096539">
        <w:t>(WORLD HEALTH ORGANIZATION – WHO, 2010)</w:t>
      </w:r>
      <w:r w:rsidRPr="00E8625E">
        <w:t xml:space="preserve">. </w:t>
      </w:r>
    </w:p>
    <w:p w:rsidR="009947C6" w:rsidRPr="00096539" w:rsidRDefault="009947C6" w:rsidP="005C2D74">
      <w:pPr>
        <w:spacing w:after="0" w:line="480" w:lineRule="auto"/>
        <w:ind w:firstLine="709"/>
        <w:jc w:val="both"/>
      </w:pPr>
      <w:r>
        <w:t>Ressalta-se</w:t>
      </w:r>
      <w:r w:rsidRPr="00E8625E">
        <w:t xml:space="preserve"> que a utilização de alimentos processados, e principalmente </w:t>
      </w:r>
      <w:proofErr w:type="spellStart"/>
      <w:r w:rsidRPr="00E8625E">
        <w:t>ultraprocessados</w:t>
      </w:r>
      <w:proofErr w:type="spellEnd"/>
      <w:r w:rsidRPr="00E8625E">
        <w:t xml:space="preserve"> vão muito além de apenas malefícios à saúde.  A produção desses alimentos gera impactos negativos no âmbito social, econômico e, principalmente ambiental, ameaçando a sustentabilidade do planeta. Atualmente observam-se enormes quantidades de embalagens desses produtos descartadas no ambiente, na qual a maioria não </w:t>
      </w:r>
      <w:proofErr w:type="gramStart"/>
      <w:r w:rsidRPr="00E8625E">
        <w:t>são biodegradáveis</w:t>
      </w:r>
      <w:proofErr w:type="gramEnd"/>
      <w:r w:rsidRPr="00E8625E">
        <w:t xml:space="preserve"> e com isso acabam alterando a paisagem e requerem o uso crescente de novos espaços e de novas e dispendiosas tecnologias de gestão de resíduos</w:t>
      </w:r>
      <w:r w:rsidR="00096539">
        <w:t xml:space="preserve"> (MONTEIRO, 2009;  MINISTÉRIO DA SAÚDE, 2014)</w:t>
      </w:r>
      <w:r w:rsidRPr="00E8625E">
        <w:t>.</w:t>
      </w:r>
      <w:r>
        <w:t xml:space="preserve"> </w:t>
      </w:r>
      <w:r w:rsidRPr="00E8625E">
        <w:t>Além disso, a crescente necessidade de alimentos como o açúcar, os óleos vegetais e várias outras matérias-primas indispensáveis na fabricação desses tipos de alimentos, estimulam o uso indiscriminável de agrotóxicos, fertilizantes químicos e de água, com consequente degradação e poluição do ambiente, assim como redução da biodiversidade e comprometimento de reservas de água, de energia e de muitos outros recursos naturais</w:t>
      </w:r>
      <w:r w:rsidR="003C5070">
        <w:rPr>
          <w:vertAlign w:val="superscript"/>
        </w:rPr>
        <w:t xml:space="preserve"> </w:t>
      </w:r>
      <w:r w:rsidR="00096539">
        <w:t>(MINISTÉRIO DA SAÚDE, 2014)</w:t>
      </w:r>
      <w:r w:rsidR="00096539" w:rsidRPr="00E8625E">
        <w:t>.</w:t>
      </w:r>
    </w:p>
    <w:p w:rsidR="009947C6" w:rsidRDefault="009947C6" w:rsidP="00E166D1">
      <w:pPr>
        <w:spacing w:after="0" w:line="480" w:lineRule="auto"/>
        <w:ind w:firstLine="709"/>
        <w:jc w:val="both"/>
      </w:pPr>
      <w:r>
        <w:t xml:space="preserve">Cabe considerar algumas </w:t>
      </w:r>
      <w:r w:rsidRPr="00E8625E">
        <w:t xml:space="preserve">limitações que </w:t>
      </w:r>
      <w:r>
        <w:t>o presente estudo apresenta</w:t>
      </w:r>
      <w:r w:rsidRPr="00E8625E">
        <w:t xml:space="preserve">. </w:t>
      </w:r>
      <w:r>
        <w:t>Primeiro</w:t>
      </w:r>
      <w:r w:rsidRPr="00E8625E">
        <w:t xml:space="preserve"> em relação </w:t>
      </w:r>
      <w:r>
        <w:t>à</w:t>
      </w:r>
      <w:r w:rsidRPr="00E8625E">
        <w:t xml:space="preserve"> avaliação do consumo alimentar a partir do QQFA, que tende a ser superestimado</w:t>
      </w:r>
      <w:r>
        <w:t>. No presente estudo</w:t>
      </w:r>
      <w:r w:rsidRPr="00E8625E">
        <w:t xml:space="preserve">, </w:t>
      </w:r>
      <w:r>
        <w:t>com o objetivo de amenizar tal fato, utilizamos um QQFA</w:t>
      </w:r>
      <w:r w:rsidRPr="00E8625E">
        <w:t xml:space="preserve"> validado</w:t>
      </w:r>
      <w:r>
        <w:t xml:space="preserve"> e treinamento para aplicação do mesmo, sendo este aplicado a todos os pacientes pelo mesmo pesquisador.  </w:t>
      </w:r>
      <w:r w:rsidRPr="00E8625E">
        <w:t xml:space="preserve"> </w:t>
      </w:r>
      <w:r>
        <w:t xml:space="preserve">Além disso, </w:t>
      </w:r>
      <w:r w:rsidRPr="00E8625E">
        <w:t>as tabelas de composição de alimentos não apresentam todos os alimentos e preparações que foram consumidas, e não há garantia de que as receitas culinárias que foram padronizadas para fazer a classificação dos ingredientes são realmente equivalentes às receitas reais do que foi consumido</w:t>
      </w:r>
      <w:r>
        <w:t xml:space="preserve">. </w:t>
      </w:r>
      <w:r w:rsidRPr="00E8625E">
        <w:t xml:space="preserve"> Apesar disso, os resultados do estudo são plausíveis e consistentes com a literatura atual, e mostram a magnitude do consumo de alimentos processados e </w:t>
      </w:r>
      <w:proofErr w:type="spellStart"/>
      <w:r w:rsidRPr="00E8625E">
        <w:t>ultraprocessados</w:t>
      </w:r>
      <w:proofErr w:type="spellEnd"/>
      <w:r w:rsidRPr="00E8625E">
        <w:t xml:space="preserve"> nesta população.  </w:t>
      </w:r>
    </w:p>
    <w:p w:rsidR="003808DD" w:rsidRPr="00767022" w:rsidRDefault="003808DD" w:rsidP="00E166D1">
      <w:pPr>
        <w:spacing w:after="0" w:line="480" w:lineRule="auto"/>
        <w:ind w:firstLine="709"/>
        <w:jc w:val="both"/>
      </w:pPr>
    </w:p>
    <w:p w:rsidR="003808DD" w:rsidRPr="003808DD" w:rsidRDefault="003808DD" w:rsidP="003808DD">
      <w:pPr>
        <w:spacing w:after="0" w:line="360" w:lineRule="auto"/>
        <w:jc w:val="both"/>
        <w:rPr>
          <w:b/>
          <w:szCs w:val="24"/>
        </w:rPr>
      </w:pPr>
      <w:proofErr w:type="gramStart"/>
      <w:r w:rsidRPr="003808DD">
        <w:rPr>
          <w:b/>
          <w:szCs w:val="24"/>
        </w:rPr>
        <w:t>5</w:t>
      </w:r>
      <w:proofErr w:type="gramEnd"/>
      <w:r w:rsidRPr="003808DD">
        <w:rPr>
          <w:b/>
          <w:szCs w:val="24"/>
        </w:rPr>
        <w:t xml:space="preserve"> CONCLUSÃO</w:t>
      </w:r>
    </w:p>
    <w:p w:rsidR="003808DD" w:rsidRPr="00E8625E" w:rsidRDefault="003808DD" w:rsidP="003808DD">
      <w:pPr>
        <w:spacing w:after="0" w:line="360" w:lineRule="auto"/>
        <w:ind w:firstLine="708"/>
        <w:jc w:val="both"/>
        <w:rPr>
          <w:szCs w:val="24"/>
        </w:rPr>
      </w:pPr>
    </w:p>
    <w:p w:rsidR="00424A65" w:rsidRPr="00F975C6" w:rsidRDefault="003808DD" w:rsidP="00F975C6">
      <w:pPr>
        <w:spacing w:after="0" w:line="360" w:lineRule="auto"/>
        <w:ind w:firstLine="708"/>
        <w:jc w:val="both"/>
        <w:rPr>
          <w:szCs w:val="24"/>
        </w:rPr>
      </w:pPr>
      <w:r w:rsidRPr="00E8625E">
        <w:rPr>
          <w:szCs w:val="24"/>
        </w:rPr>
        <w:t xml:space="preserve">O percentual de consumo de alimentos processados e </w:t>
      </w:r>
      <w:proofErr w:type="spellStart"/>
      <w:r w:rsidRPr="00E8625E">
        <w:rPr>
          <w:szCs w:val="24"/>
        </w:rPr>
        <w:t>ultraprocessados</w:t>
      </w:r>
      <w:proofErr w:type="spellEnd"/>
      <w:r w:rsidRPr="00E8625E">
        <w:rPr>
          <w:szCs w:val="24"/>
        </w:rPr>
        <w:t xml:space="preserve"> foram relativamente altos na alimentação dos indivíduos com excesso de peso, o que provavelmente contribui para maior consumo de energia, açúcares e gorduras pouco saudáveis, aliado a baixos teores de fibras. Ademais, este estudo reitera que a avaliação do consumo alimentar sob a ótica do grau de processamento dos alimentos é fundamental para o estabelecimento de estratégias que visem </w:t>
      </w:r>
      <w:proofErr w:type="gramStart"/>
      <w:r w:rsidRPr="00E8625E">
        <w:rPr>
          <w:szCs w:val="24"/>
        </w:rPr>
        <w:t>a</w:t>
      </w:r>
      <w:proofErr w:type="gramEnd"/>
      <w:r w:rsidRPr="00E8625E">
        <w:rPr>
          <w:szCs w:val="24"/>
        </w:rPr>
        <w:t xml:space="preserve"> prevenção e o tratamento da obesidade, como o desenvolvimento de ações de educação alimentar e nutricional direcionadas a estes indivíduos com excesso de peso corporal, com vistas a desestimular o consumo de alimentos processados e </w:t>
      </w:r>
      <w:proofErr w:type="spellStart"/>
      <w:r w:rsidRPr="00E8625E">
        <w:rPr>
          <w:szCs w:val="24"/>
        </w:rPr>
        <w:t>ultraprocessados</w:t>
      </w:r>
      <w:proofErr w:type="spellEnd"/>
      <w:r w:rsidRPr="00E8625E">
        <w:rPr>
          <w:szCs w:val="24"/>
        </w:rPr>
        <w:t>.</w:t>
      </w:r>
    </w:p>
    <w:p w:rsidR="00424A65" w:rsidRPr="005F66CD" w:rsidRDefault="00424A65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10359" w:rsidRPr="005F66CD" w:rsidRDefault="00110359" w:rsidP="005C2D74">
      <w:pPr>
        <w:spacing w:after="0" w:line="480" w:lineRule="auto"/>
        <w:ind w:firstLine="709"/>
        <w:jc w:val="both"/>
        <w:rPr>
          <w:b/>
        </w:rPr>
      </w:pPr>
    </w:p>
    <w:p w:rsidR="001772EA" w:rsidRPr="005F66CD" w:rsidRDefault="001772EA" w:rsidP="00173C6A">
      <w:pPr>
        <w:spacing w:after="0" w:line="480" w:lineRule="auto"/>
        <w:jc w:val="both"/>
        <w:rPr>
          <w:b/>
        </w:rPr>
      </w:pPr>
    </w:p>
    <w:p w:rsidR="00173C6A" w:rsidRPr="005F66CD" w:rsidRDefault="00173C6A" w:rsidP="00173C6A">
      <w:pPr>
        <w:spacing w:after="0" w:line="480" w:lineRule="auto"/>
        <w:jc w:val="both"/>
        <w:rPr>
          <w:b/>
        </w:rPr>
      </w:pPr>
    </w:p>
    <w:p w:rsidR="001772EA" w:rsidRPr="005F66CD" w:rsidRDefault="001772EA" w:rsidP="005C2D74">
      <w:pPr>
        <w:spacing w:after="0" w:line="480" w:lineRule="auto"/>
        <w:ind w:firstLine="709"/>
        <w:jc w:val="both"/>
        <w:rPr>
          <w:b/>
        </w:rPr>
      </w:pPr>
    </w:p>
    <w:p w:rsidR="001772EA" w:rsidRPr="005F66CD" w:rsidRDefault="001772EA" w:rsidP="005C2D74">
      <w:pPr>
        <w:spacing w:after="0" w:line="480" w:lineRule="auto"/>
        <w:ind w:firstLine="709"/>
        <w:jc w:val="both"/>
        <w:rPr>
          <w:b/>
        </w:rPr>
      </w:pPr>
    </w:p>
    <w:p w:rsidR="001772EA" w:rsidRPr="005F66CD" w:rsidRDefault="001772EA" w:rsidP="005C2D74">
      <w:pPr>
        <w:spacing w:after="0" w:line="480" w:lineRule="auto"/>
        <w:ind w:firstLine="709"/>
        <w:jc w:val="both"/>
        <w:rPr>
          <w:b/>
        </w:rPr>
      </w:pPr>
    </w:p>
    <w:p w:rsidR="009947C6" w:rsidRPr="005F66CD" w:rsidRDefault="009947C6" w:rsidP="005C2D74">
      <w:pPr>
        <w:spacing w:after="0" w:line="480" w:lineRule="auto"/>
        <w:ind w:firstLine="709"/>
        <w:jc w:val="both"/>
        <w:rPr>
          <w:b/>
        </w:rPr>
      </w:pPr>
      <w:r w:rsidRPr="005F66CD">
        <w:rPr>
          <w:b/>
        </w:rPr>
        <w:lastRenderedPageBreak/>
        <w:t>REFERÊNCIAS</w:t>
      </w:r>
    </w:p>
    <w:p w:rsidR="00F975C6" w:rsidRPr="005F66CD" w:rsidRDefault="00F975C6" w:rsidP="005C2D74">
      <w:pPr>
        <w:spacing w:after="0" w:line="480" w:lineRule="auto"/>
        <w:ind w:firstLine="709"/>
        <w:jc w:val="both"/>
        <w:rPr>
          <w:b/>
        </w:rPr>
      </w:pPr>
    </w:p>
    <w:p w:rsidR="00096539" w:rsidRPr="005F66CD" w:rsidRDefault="00F97ED0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2E3EC5"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1772EA" w:rsidRPr="002E3EC5">
        <w:rPr>
          <w:rFonts w:ascii="Times New Roman" w:hAnsi="Times New Roman"/>
          <w:sz w:val="24"/>
          <w:szCs w:val="24"/>
          <w:lang w:eastAsia="pt-BR"/>
        </w:rPr>
        <w:t>ARES</w:t>
      </w:r>
      <w:r w:rsidR="001772EA">
        <w:rPr>
          <w:rFonts w:ascii="Times New Roman" w:hAnsi="Times New Roman"/>
          <w:sz w:val="24"/>
          <w:szCs w:val="24"/>
          <w:lang w:eastAsia="pt-BR"/>
        </w:rPr>
        <w:t>, G.;</w:t>
      </w:r>
      <w:r w:rsidR="001772EA" w:rsidRPr="002E3EC5">
        <w:rPr>
          <w:rFonts w:ascii="Times New Roman" w:hAnsi="Times New Roman"/>
          <w:sz w:val="24"/>
          <w:szCs w:val="24"/>
          <w:lang w:eastAsia="pt-BR"/>
        </w:rPr>
        <w:t xml:space="preserve"> VIDAL</w:t>
      </w:r>
      <w:r w:rsidR="001772EA">
        <w:rPr>
          <w:rFonts w:ascii="Times New Roman" w:hAnsi="Times New Roman"/>
          <w:sz w:val="24"/>
          <w:szCs w:val="24"/>
          <w:lang w:eastAsia="pt-BR"/>
        </w:rPr>
        <w:t>, L.;</w:t>
      </w:r>
      <w:r w:rsidR="001772EA" w:rsidRPr="002E3EC5">
        <w:rPr>
          <w:rFonts w:ascii="Times New Roman" w:hAnsi="Times New Roman"/>
          <w:sz w:val="24"/>
          <w:szCs w:val="24"/>
          <w:lang w:eastAsia="pt-BR"/>
        </w:rPr>
        <w:t xml:space="preserve"> ALLEGUE</w:t>
      </w:r>
      <w:r w:rsidR="001772EA">
        <w:rPr>
          <w:rFonts w:ascii="Times New Roman" w:hAnsi="Times New Roman"/>
          <w:sz w:val="24"/>
          <w:szCs w:val="24"/>
          <w:lang w:eastAsia="pt-BR"/>
        </w:rPr>
        <w:t>, G.;</w:t>
      </w:r>
      <w:r w:rsidR="001772EA" w:rsidRPr="002E3EC5">
        <w:rPr>
          <w:rFonts w:ascii="Times New Roman" w:hAnsi="Times New Roman"/>
          <w:sz w:val="24"/>
          <w:szCs w:val="24"/>
          <w:lang w:eastAsia="pt-BR"/>
        </w:rPr>
        <w:t xml:space="preserve"> GIMÉNEZ</w:t>
      </w:r>
      <w:r w:rsidR="001772EA">
        <w:rPr>
          <w:rFonts w:ascii="Times New Roman" w:hAnsi="Times New Roman"/>
          <w:sz w:val="24"/>
          <w:szCs w:val="24"/>
          <w:lang w:eastAsia="pt-BR"/>
        </w:rPr>
        <w:t>, A.;</w:t>
      </w:r>
      <w:r w:rsidR="001772EA" w:rsidRPr="002E3EC5">
        <w:rPr>
          <w:rFonts w:ascii="Times New Roman" w:hAnsi="Times New Roman"/>
          <w:sz w:val="24"/>
          <w:szCs w:val="24"/>
          <w:lang w:eastAsia="pt-BR"/>
        </w:rPr>
        <w:t xml:space="preserve"> BANDEIRA</w:t>
      </w:r>
      <w:r w:rsidR="001772EA">
        <w:rPr>
          <w:rFonts w:ascii="Times New Roman" w:hAnsi="Times New Roman"/>
          <w:sz w:val="24"/>
          <w:szCs w:val="24"/>
          <w:lang w:eastAsia="pt-BR"/>
        </w:rPr>
        <w:t>, E</w:t>
      </w:r>
      <w:proofErr w:type="gramStart"/>
      <w:r w:rsidR="001772EA">
        <w:rPr>
          <w:rFonts w:ascii="Times New Roman" w:hAnsi="Times New Roman"/>
          <w:sz w:val="24"/>
          <w:szCs w:val="24"/>
          <w:lang w:eastAsia="pt-BR"/>
        </w:rPr>
        <w:t>.;</w:t>
      </w:r>
      <w:proofErr w:type="gramEnd"/>
      <w:r w:rsidR="001772EA" w:rsidRPr="002E3EC5">
        <w:rPr>
          <w:rFonts w:ascii="Times New Roman" w:hAnsi="Times New Roman"/>
          <w:sz w:val="24"/>
          <w:szCs w:val="24"/>
          <w:lang w:eastAsia="pt-BR"/>
        </w:rPr>
        <w:t xml:space="preserve"> MARATORIO</w:t>
      </w:r>
      <w:r w:rsidR="001772EA">
        <w:rPr>
          <w:rFonts w:ascii="Times New Roman" w:hAnsi="Times New Roman"/>
          <w:sz w:val="24"/>
          <w:szCs w:val="24"/>
          <w:lang w:eastAsia="pt-BR"/>
        </w:rPr>
        <w:t>,</w:t>
      </w:r>
      <w:r w:rsidR="001772EA" w:rsidRPr="002E3EC5">
        <w:rPr>
          <w:rFonts w:ascii="Times New Roman" w:hAnsi="Times New Roman"/>
          <w:sz w:val="24"/>
          <w:szCs w:val="24"/>
          <w:lang w:eastAsia="pt-BR"/>
        </w:rPr>
        <w:t xml:space="preserve"> X</w:t>
      </w:r>
      <w:r w:rsidR="001772EA">
        <w:rPr>
          <w:rFonts w:ascii="Times New Roman" w:hAnsi="Times New Roman"/>
          <w:sz w:val="24"/>
          <w:szCs w:val="24"/>
          <w:lang w:eastAsia="pt-BR"/>
        </w:rPr>
        <w:t>.</w:t>
      </w:r>
      <w:r w:rsidR="00096539" w:rsidRPr="002E3EC5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="00096539" w:rsidRPr="002E3EC5">
        <w:rPr>
          <w:rFonts w:ascii="Times New Roman" w:hAnsi="Times New Roman"/>
          <w:sz w:val="24"/>
          <w:szCs w:val="24"/>
          <w:lang w:eastAsia="pt-BR"/>
        </w:rPr>
        <w:t>et</w:t>
      </w:r>
      <w:proofErr w:type="gramEnd"/>
      <w:r w:rsidR="00096539" w:rsidRPr="002E3EC5">
        <w:rPr>
          <w:rFonts w:ascii="Times New Roman" w:hAnsi="Times New Roman"/>
          <w:sz w:val="24"/>
          <w:szCs w:val="24"/>
          <w:lang w:eastAsia="pt-BR"/>
        </w:rPr>
        <w:t xml:space="preserve"> al. </w:t>
      </w:r>
      <w:r w:rsidR="00096539" w:rsidRPr="002E3EC5">
        <w:rPr>
          <w:rFonts w:ascii="Times New Roman" w:hAnsi="Times New Roman"/>
          <w:sz w:val="24"/>
          <w:szCs w:val="24"/>
          <w:lang w:val="en-US" w:eastAsia="pt-BR"/>
        </w:rPr>
        <w:t xml:space="preserve">Consumers’ conceptualization of </w:t>
      </w:r>
      <w:proofErr w:type="spellStart"/>
      <w:r w:rsidR="00096539" w:rsidRPr="002E3EC5">
        <w:rPr>
          <w:rFonts w:ascii="Times New Roman" w:hAnsi="Times New Roman"/>
          <w:sz w:val="24"/>
          <w:szCs w:val="24"/>
          <w:lang w:val="en-US" w:eastAsia="pt-BR"/>
        </w:rPr>
        <w:t>ultra process</w:t>
      </w:r>
      <w:bookmarkStart w:id="0" w:name="_GoBack"/>
      <w:bookmarkEnd w:id="0"/>
      <w:r w:rsidR="00096539" w:rsidRPr="002E3EC5">
        <w:rPr>
          <w:rFonts w:ascii="Times New Roman" w:hAnsi="Times New Roman"/>
          <w:sz w:val="24"/>
          <w:szCs w:val="24"/>
          <w:lang w:val="en-US" w:eastAsia="pt-BR"/>
        </w:rPr>
        <w:t>ed</w:t>
      </w:r>
      <w:proofErr w:type="spellEnd"/>
      <w:r w:rsidR="00096539" w:rsidRPr="002E3EC5">
        <w:rPr>
          <w:rFonts w:ascii="Times New Roman" w:hAnsi="Times New Roman"/>
          <w:sz w:val="24"/>
          <w:szCs w:val="24"/>
          <w:lang w:val="en-US" w:eastAsia="pt-BR"/>
        </w:rPr>
        <w:t xml:space="preserve"> foods. </w:t>
      </w:r>
      <w:proofErr w:type="gramStart"/>
      <w:r w:rsidR="00096539" w:rsidRPr="005F66CD">
        <w:rPr>
          <w:rFonts w:ascii="Times New Roman" w:hAnsi="Times New Roman"/>
          <w:b/>
          <w:sz w:val="24"/>
          <w:szCs w:val="24"/>
          <w:lang w:val="en-US" w:eastAsia="pt-BR"/>
        </w:rPr>
        <w:t xml:space="preserve">Elsevier </w:t>
      </w:r>
      <w:proofErr w:type="spellStart"/>
      <w:r w:rsidR="00096539" w:rsidRPr="005F66CD">
        <w:rPr>
          <w:rFonts w:ascii="Times New Roman" w:hAnsi="Times New Roman"/>
          <w:b/>
          <w:sz w:val="24"/>
          <w:szCs w:val="24"/>
          <w:lang w:val="en-US" w:eastAsia="pt-BR"/>
        </w:rPr>
        <w:t>latd</w:t>
      </w:r>
      <w:proofErr w:type="spellEnd"/>
      <w:r w:rsidR="00096539" w:rsidRPr="005F66CD">
        <w:rPr>
          <w:rFonts w:ascii="Times New Roman" w:hAnsi="Times New Roman"/>
          <w:b/>
          <w:sz w:val="24"/>
          <w:szCs w:val="24"/>
          <w:lang w:val="en-US" w:eastAsia="pt-BR"/>
        </w:rPr>
        <w:t>.</w:t>
      </w:r>
      <w:proofErr w:type="gramEnd"/>
      <w:r w:rsidR="00096539" w:rsidRPr="005F66CD">
        <w:rPr>
          <w:rFonts w:ascii="Times New Roman" w:hAnsi="Times New Roman"/>
          <w:b/>
          <w:sz w:val="24"/>
          <w:szCs w:val="24"/>
          <w:lang w:val="en-US" w:eastAsia="pt-BR"/>
        </w:rPr>
        <w:t xml:space="preserve"> All rights reserved</w:t>
      </w:r>
      <w:r w:rsidR="001772EA" w:rsidRPr="005F66CD">
        <w:rPr>
          <w:rFonts w:ascii="Times New Roman" w:hAnsi="Times New Roman"/>
          <w:sz w:val="24"/>
          <w:szCs w:val="24"/>
          <w:lang w:val="en-US" w:eastAsia="pt-BR"/>
        </w:rPr>
        <w:t xml:space="preserve">, </w:t>
      </w:r>
      <w:r w:rsidR="00096539" w:rsidRPr="005F66CD">
        <w:rPr>
          <w:rFonts w:ascii="Times New Roman" w:hAnsi="Times New Roman"/>
          <w:sz w:val="24"/>
          <w:szCs w:val="24"/>
          <w:lang w:val="en-US" w:eastAsia="pt-BR"/>
        </w:rPr>
        <w:t>105:611-7</w:t>
      </w:r>
      <w:r w:rsidR="001772EA" w:rsidRPr="005F66CD">
        <w:rPr>
          <w:rFonts w:ascii="Times New Roman" w:hAnsi="Times New Roman"/>
          <w:sz w:val="24"/>
          <w:szCs w:val="24"/>
          <w:lang w:val="en-US" w:eastAsia="pt-BR"/>
        </w:rPr>
        <w:t>, 2016</w:t>
      </w:r>
      <w:r w:rsidR="00096539" w:rsidRPr="005F66CD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A51AF7" w:rsidRPr="001772EA" w:rsidRDefault="00A51AF7" w:rsidP="008356BF">
      <w:pPr>
        <w:pStyle w:val="SemEspaamen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2E3EC5"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>BIELEMANN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R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.M.;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MOTTA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J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>V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.;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MINTEN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G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.C.;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HORTA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B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.L.;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GIGANTE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1772EA" w:rsidRPr="002E3EC5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1772EA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2E3EC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E3EC5">
        <w:rPr>
          <w:rFonts w:ascii="Times New Roman" w:hAnsi="Times New Roman"/>
          <w:sz w:val="24"/>
          <w:szCs w:val="24"/>
        </w:rPr>
        <w:t xml:space="preserve">Consumo de alimentos </w:t>
      </w:r>
      <w:proofErr w:type="spellStart"/>
      <w:r w:rsidRPr="002E3EC5">
        <w:rPr>
          <w:rFonts w:ascii="Times New Roman" w:hAnsi="Times New Roman"/>
          <w:sz w:val="24"/>
          <w:szCs w:val="24"/>
        </w:rPr>
        <w:t>ultraprocessados</w:t>
      </w:r>
      <w:proofErr w:type="spellEnd"/>
      <w:r w:rsidRPr="002E3EC5">
        <w:rPr>
          <w:rFonts w:ascii="Times New Roman" w:hAnsi="Times New Roman"/>
          <w:sz w:val="24"/>
          <w:szCs w:val="24"/>
        </w:rPr>
        <w:t xml:space="preserve"> e impacto na dieta de adultos jovens</w:t>
      </w:r>
      <w:r w:rsidRPr="00F975C6">
        <w:rPr>
          <w:rFonts w:ascii="Times New Roman" w:hAnsi="Times New Roman"/>
          <w:b/>
          <w:sz w:val="24"/>
          <w:szCs w:val="24"/>
        </w:rPr>
        <w:t xml:space="preserve">. </w:t>
      </w:r>
      <w:r w:rsidRPr="005F66CD">
        <w:rPr>
          <w:rFonts w:ascii="Times New Roman" w:hAnsi="Times New Roman"/>
          <w:b/>
          <w:sz w:val="24"/>
          <w:szCs w:val="24"/>
        </w:rPr>
        <w:t>Rev. Saúde Pública</w:t>
      </w:r>
      <w:r w:rsidRPr="005F66CD">
        <w:rPr>
          <w:rFonts w:ascii="Times New Roman" w:hAnsi="Times New Roman"/>
          <w:sz w:val="24"/>
          <w:szCs w:val="24"/>
        </w:rPr>
        <w:t>,</w:t>
      </w:r>
      <w:r w:rsidR="001772EA" w:rsidRPr="005F66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72EA" w:rsidRPr="005F66CD">
        <w:rPr>
          <w:rFonts w:ascii="Times New Roman" w:hAnsi="Times New Roman"/>
          <w:sz w:val="24"/>
          <w:szCs w:val="24"/>
        </w:rPr>
        <w:t>49:28</w:t>
      </w:r>
      <w:proofErr w:type="gramEnd"/>
      <w:r w:rsidR="001772EA" w:rsidRPr="005F66CD">
        <w:rPr>
          <w:rFonts w:ascii="Times New Roman" w:hAnsi="Times New Roman"/>
          <w:sz w:val="24"/>
          <w:szCs w:val="24"/>
        </w:rPr>
        <w:t>, 2015.</w:t>
      </w:r>
      <w:r w:rsidRPr="005F66CD">
        <w:rPr>
          <w:rFonts w:ascii="Times New Roman" w:hAnsi="Times New Roman"/>
          <w:sz w:val="24"/>
          <w:szCs w:val="24"/>
        </w:rPr>
        <w:t xml:space="preserve"> </w:t>
      </w:r>
    </w:p>
    <w:p w:rsidR="0034746E" w:rsidRPr="005F66CD" w:rsidRDefault="0034746E" w:rsidP="008356B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34746E" w:rsidRPr="005F66CD" w:rsidRDefault="0034746E" w:rsidP="008356B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:rsidR="00A51AF7" w:rsidRPr="002E3EC5" w:rsidRDefault="00A51AF7" w:rsidP="008356BF">
      <w:pPr>
        <w:pStyle w:val="SemEspaamento"/>
        <w:rPr>
          <w:rFonts w:ascii="Times New Roman" w:hAnsi="Times New Roman"/>
          <w:sz w:val="24"/>
          <w:szCs w:val="24"/>
        </w:rPr>
      </w:pPr>
      <w:r w:rsidRPr="005F66CD">
        <w:rPr>
          <w:rFonts w:ascii="Times New Roman" w:hAnsi="Times New Roman"/>
          <w:sz w:val="24"/>
          <w:szCs w:val="24"/>
        </w:rPr>
        <w:t xml:space="preserve">- Brasil. </w:t>
      </w:r>
      <w:r w:rsidRPr="00F975C6">
        <w:rPr>
          <w:rFonts w:ascii="Times New Roman" w:hAnsi="Times New Roman"/>
          <w:b/>
          <w:sz w:val="24"/>
          <w:szCs w:val="24"/>
        </w:rPr>
        <w:t>Ministério da Saúde</w:t>
      </w:r>
      <w:r w:rsidRPr="002E3EC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E3EC5">
        <w:rPr>
          <w:rFonts w:ascii="Times New Roman" w:hAnsi="Times New Roman"/>
          <w:sz w:val="24"/>
          <w:szCs w:val="24"/>
        </w:rPr>
        <w:t>Vigitel</w:t>
      </w:r>
      <w:proofErr w:type="spellEnd"/>
      <w:r w:rsidRPr="002E3EC5">
        <w:rPr>
          <w:rFonts w:ascii="Times New Roman" w:hAnsi="Times New Roman"/>
          <w:sz w:val="24"/>
          <w:szCs w:val="24"/>
        </w:rPr>
        <w:t xml:space="preserve"> Brasil 2014: vigilância de fatores de risco e proteção para doenças crônicas por inquérito telefônico. Brasília, 2015</w:t>
      </w:r>
      <w:r w:rsidR="00F975C6">
        <w:rPr>
          <w:rFonts w:ascii="Times New Roman" w:hAnsi="Times New Roman"/>
          <w:sz w:val="24"/>
          <w:szCs w:val="24"/>
        </w:rPr>
        <w:t>.</w:t>
      </w: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34746E" w:rsidRPr="005F66CD" w:rsidRDefault="00A51AF7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5F66CD"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1772EA" w:rsidRPr="005F66CD">
        <w:rPr>
          <w:rFonts w:ascii="Times New Roman" w:hAnsi="Times New Roman"/>
          <w:sz w:val="24"/>
          <w:szCs w:val="24"/>
          <w:lang w:eastAsia="pt-BR"/>
        </w:rPr>
        <w:t>CANELLA, D.V.; LEVY, R.B.; MARTINS, A.P.B.; CLARO, R.M.; MOUBARAC, J.C.; BARALDI, L.G.</w:t>
      </w:r>
      <w:r w:rsidRPr="005F66CD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5F66CD">
        <w:rPr>
          <w:rFonts w:ascii="Times New Roman" w:hAnsi="Times New Roman"/>
          <w:sz w:val="24"/>
          <w:szCs w:val="24"/>
          <w:lang w:eastAsia="pt-BR"/>
        </w:rPr>
        <w:t>et</w:t>
      </w:r>
      <w:proofErr w:type="gramEnd"/>
      <w:r w:rsidRPr="005F66CD">
        <w:rPr>
          <w:rFonts w:ascii="Times New Roman" w:hAnsi="Times New Roman"/>
          <w:sz w:val="24"/>
          <w:szCs w:val="24"/>
          <w:lang w:eastAsia="pt-BR"/>
        </w:rPr>
        <w:t xml:space="preserve"> al. </w:t>
      </w:r>
      <w:r w:rsidRPr="002E3EC5">
        <w:rPr>
          <w:rFonts w:ascii="Times New Roman" w:hAnsi="Times New Roman"/>
          <w:sz w:val="24"/>
          <w:szCs w:val="24"/>
          <w:lang w:val="en-US" w:eastAsia="pt-BR"/>
        </w:rPr>
        <w:t xml:space="preserve">Ultra-processed food products and obesity in Brazilian households (2008-2009). </w:t>
      </w:r>
      <w:proofErr w:type="spellStart"/>
      <w:proofErr w:type="gramStart"/>
      <w:r w:rsidRPr="00F975C6">
        <w:rPr>
          <w:rFonts w:ascii="Times New Roman" w:hAnsi="Times New Roman"/>
          <w:b/>
          <w:sz w:val="24"/>
          <w:szCs w:val="24"/>
          <w:lang w:val="en-US" w:eastAsia="pt-BR"/>
        </w:rPr>
        <w:t>Plos</w:t>
      </w:r>
      <w:proofErr w:type="spellEnd"/>
      <w:r w:rsidRPr="00F975C6">
        <w:rPr>
          <w:rFonts w:ascii="Times New Roman" w:hAnsi="Times New Roman"/>
          <w:b/>
          <w:sz w:val="24"/>
          <w:szCs w:val="24"/>
          <w:lang w:val="en-US" w:eastAsia="pt-BR"/>
        </w:rPr>
        <w:t>.</w:t>
      </w:r>
      <w:proofErr w:type="gramEnd"/>
      <w:r w:rsidRPr="00F975C6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Pr="005F66CD">
        <w:rPr>
          <w:rFonts w:ascii="Times New Roman" w:hAnsi="Times New Roman"/>
          <w:b/>
          <w:sz w:val="24"/>
          <w:szCs w:val="24"/>
          <w:lang w:eastAsia="pt-BR"/>
        </w:rPr>
        <w:t>One</w:t>
      </w:r>
      <w:proofErr w:type="spellEnd"/>
      <w:r w:rsidRPr="005F66CD">
        <w:rPr>
          <w:rFonts w:ascii="Times New Roman" w:hAnsi="Times New Roman"/>
          <w:b/>
          <w:sz w:val="24"/>
          <w:szCs w:val="24"/>
          <w:lang w:eastAsia="pt-BR"/>
        </w:rPr>
        <w:t>,</w:t>
      </w:r>
      <w:r w:rsidR="001772EA" w:rsidRPr="005F66CD">
        <w:rPr>
          <w:rFonts w:ascii="Times New Roman" w:hAnsi="Times New Roman"/>
          <w:sz w:val="24"/>
          <w:szCs w:val="24"/>
          <w:lang w:eastAsia="pt-BR"/>
        </w:rPr>
        <w:t xml:space="preserve"> 9(3): e92752, 2014.</w:t>
      </w:r>
    </w:p>
    <w:p w:rsidR="001772EA" w:rsidRPr="005F66CD" w:rsidRDefault="001772EA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34746E" w:rsidRPr="005F66CD" w:rsidRDefault="0034746E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A51AF7" w:rsidRPr="005F66CD" w:rsidRDefault="00A51AF7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2E3EC5">
        <w:rPr>
          <w:rFonts w:ascii="Times New Roman" w:hAnsi="Times New Roman"/>
          <w:sz w:val="24"/>
          <w:szCs w:val="24"/>
        </w:rPr>
        <w:t xml:space="preserve">- </w:t>
      </w:r>
      <w:r w:rsidR="001772EA" w:rsidRPr="002E3EC5">
        <w:rPr>
          <w:rFonts w:ascii="Times New Roman" w:hAnsi="Times New Roman"/>
          <w:sz w:val="24"/>
          <w:szCs w:val="24"/>
        </w:rPr>
        <w:t>CARLUCCI</w:t>
      </w:r>
      <w:r w:rsidR="001772EA">
        <w:rPr>
          <w:rFonts w:ascii="Times New Roman" w:hAnsi="Times New Roman"/>
          <w:sz w:val="24"/>
          <w:szCs w:val="24"/>
        </w:rPr>
        <w:t>,</w:t>
      </w:r>
      <w:r w:rsidR="001772EA" w:rsidRPr="002E3EC5">
        <w:rPr>
          <w:rFonts w:ascii="Times New Roman" w:hAnsi="Times New Roman"/>
          <w:sz w:val="24"/>
          <w:szCs w:val="24"/>
        </w:rPr>
        <w:t xml:space="preserve"> E</w:t>
      </w:r>
      <w:r w:rsidR="001772EA">
        <w:rPr>
          <w:rFonts w:ascii="Times New Roman" w:hAnsi="Times New Roman"/>
          <w:sz w:val="24"/>
          <w:szCs w:val="24"/>
        </w:rPr>
        <w:t>.</w:t>
      </w:r>
      <w:r w:rsidR="001772EA" w:rsidRPr="002E3EC5">
        <w:rPr>
          <w:rFonts w:ascii="Times New Roman" w:hAnsi="Times New Roman"/>
          <w:sz w:val="24"/>
          <w:szCs w:val="24"/>
        </w:rPr>
        <w:t>M</w:t>
      </w:r>
      <w:r w:rsidR="001772EA">
        <w:rPr>
          <w:rFonts w:ascii="Times New Roman" w:hAnsi="Times New Roman"/>
          <w:sz w:val="24"/>
          <w:szCs w:val="24"/>
        </w:rPr>
        <w:t>.S.;</w:t>
      </w:r>
      <w:r w:rsidR="001772EA" w:rsidRPr="002E3EC5">
        <w:rPr>
          <w:rFonts w:ascii="Times New Roman" w:hAnsi="Times New Roman"/>
          <w:sz w:val="24"/>
          <w:szCs w:val="24"/>
        </w:rPr>
        <w:t xml:space="preserve"> GOUVÊA</w:t>
      </w:r>
      <w:r w:rsidR="001772EA">
        <w:rPr>
          <w:rFonts w:ascii="Times New Roman" w:hAnsi="Times New Roman"/>
          <w:sz w:val="24"/>
          <w:szCs w:val="24"/>
        </w:rPr>
        <w:t>,</w:t>
      </w:r>
      <w:r w:rsidR="001772EA" w:rsidRPr="002E3EC5">
        <w:rPr>
          <w:rFonts w:ascii="Times New Roman" w:hAnsi="Times New Roman"/>
          <w:sz w:val="24"/>
          <w:szCs w:val="24"/>
        </w:rPr>
        <w:t xml:space="preserve"> J</w:t>
      </w:r>
      <w:r w:rsidR="001772EA">
        <w:rPr>
          <w:rFonts w:ascii="Times New Roman" w:hAnsi="Times New Roman"/>
          <w:sz w:val="24"/>
          <w:szCs w:val="24"/>
        </w:rPr>
        <w:t>.A.;</w:t>
      </w:r>
      <w:r w:rsidR="001772EA" w:rsidRPr="002E3EC5">
        <w:rPr>
          <w:rFonts w:ascii="Times New Roman" w:hAnsi="Times New Roman"/>
          <w:sz w:val="24"/>
          <w:szCs w:val="24"/>
        </w:rPr>
        <w:t xml:space="preserve"> OLIVEIRA</w:t>
      </w:r>
      <w:r w:rsidR="001772EA">
        <w:rPr>
          <w:rFonts w:ascii="Times New Roman" w:hAnsi="Times New Roman"/>
          <w:sz w:val="24"/>
          <w:szCs w:val="24"/>
        </w:rPr>
        <w:t>,</w:t>
      </w:r>
      <w:r w:rsidR="001772EA" w:rsidRPr="002E3EC5">
        <w:rPr>
          <w:rFonts w:ascii="Times New Roman" w:hAnsi="Times New Roman"/>
          <w:sz w:val="24"/>
          <w:szCs w:val="24"/>
        </w:rPr>
        <w:t xml:space="preserve"> A</w:t>
      </w:r>
      <w:r w:rsidR="001772EA">
        <w:rPr>
          <w:rFonts w:ascii="Times New Roman" w:hAnsi="Times New Roman"/>
          <w:sz w:val="24"/>
          <w:szCs w:val="24"/>
        </w:rPr>
        <w:t>.P.;</w:t>
      </w:r>
      <w:r w:rsidR="001772EA" w:rsidRPr="002E3EC5">
        <w:rPr>
          <w:rFonts w:ascii="Times New Roman" w:hAnsi="Times New Roman"/>
          <w:sz w:val="24"/>
          <w:szCs w:val="24"/>
        </w:rPr>
        <w:t xml:space="preserve"> SILVA</w:t>
      </w:r>
      <w:r w:rsidR="001772EA">
        <w:rPr>
          <w:rFonts w:ascii="Times New Roman" w:hAnsi="Times New Roman"/>
          <w:sz w:val="24"/>
          <w:szCs w:val="24"/>
        </w:rPr>
        <w:t>,</w:t>
      </w:r>
      <w:r w:rsidR="001772EA" w:rsidRPr="002E3EC5">
        <w:rPr>
          <w:rFonts w:ascii="Times New Roman" w:hAnsi="Times New Roman"/>
          <w:sz w:val="24"/>
          <w:szCs w:val="24"/>
        </w:rPr>
        <w:t xml:space="preserve"> J</w:t>
      </w:r>
      <w:r w:rsidR="001772EA">
        <w:rPr>
          <w:rFonts w:ascii="Times New Roman" w:hAnsi="Times New Roman"/>
          <w:sz w:val="24"/>
          <w:szCs w:val="24"/>
        </w:rPr>
        <w:t>.D.;</w:t>
      </w:r>
      <w:r w:rsidR="001772EA" w:rsidRPr="002E3EC5">
        <w:rPr>
          <w:rFonts w:ascii="Times New Roman" w:hAnsi="Times New Roman"/>
          <w:sz w:val="24"/>
          <w:szCs w:val="24"/>
        </w:rPr>
        <w:t xml:space="preserve"> CASSIANO</w:t>
      </w:r>
      <w:r w:rsidR="001772EA">
        <w:rPr>
          <w:rFonts w:ascii="Times New Roman" w:hAnsi="Times New Roman"/>
          <w:sz w:val="24"/>
          <w:szCs w:val="24"/>
        </w:rPr>
        <w:t>,</w:t>
      </w:r>
      <w:r w:rsidR="001772EA" w:rsidRPr="002E3EC5">
        <w:rPr>
          <w:rFonts w:ascii="Times New Roman" w:hAnsi="Times New Roman"/>
          <w:sz w:val="24"/>
          <w:szCs w:val="24"/>
        </w:rPr>
        <w:t xml:space="preserve"> A</w:t>
      </w:r>
      <w:r w:rsidR="001772EA">
        <w:rPr>
          <w:rFonts w:ascii="Times New Roman" w:hAnsi="Times New Roman"/>
          <w:sz w:val="24"/>
          <w:szCs w:val="24"/>
        </w:rPr>
        <w:t>.</w:t>
      </w:r>
      <w:r w:rsidR="001772EA" w:rsidRPr="002E3EC5">
        <w:rPr>
          <w:rFonts w:ascii="Times New Roman" w:hAnsi="Times New Roman"/>
          <w:sz w:val="24"/>
          <w:szCs w:val="24"/>
        </w:rPr>
        <w:t>C</w:t>
      </w:r>
      <w:r w:rsidR="001772EA">
        <w:rPr>
          <w:rFonts w:ascii="Times New Roman" w:hAnsi="Times New Roman"/>
          <w:sz w:val="24"/>
          <w:szCs w:val="24"/>
        </w:rPr>
        <w:t>.M.;</w:t>
      </w:r>
      <w:r w:rsidR="001772EA" w:rsidRPr="002E3EC5">
        <w:rPr>
          <w:rFonts w:ascii="Times New Roman" w:hAnsi="Times New Roman"/>
          <w:sz w:val="24"/>
          <w:szCs w:val="24"/>
        </w:rPr>
        <w:t xml:space="preserve"> BENNEMANN</w:t>
      </w:r>
      <w:r w:rsidR="001772EA">
        <w:rPr>
          <w:rFonts w:ascii="Times New Roman" w:hAnsi="Times New Roman"/>
          <w:sz w:val="24"/>
          <w:szCs w:val="24"/>
        </w:rPr>
        <w:t>,</w:t>
      </w:r>
      <w:r w:rsidR="001772EA" w:rsidRPr="002E3EC5">
        <w:rPr>
          <w:rFonts w:ascii="Times New Roman" w:hAnsi="Times New Roman"/>
          <w:sz w:val="24"/>
          <w:szCs w:val="24"/>
        </w:rPr>
        <w:t xml:space="preserve"> R</w:t>
      </w:r>
      <w:r w:rsidR="001772EA">
        <w:rPr>
          <w:rFonts w:ascii="Times New Roman" w:hAnsi="Times New Roman"/>
          <w:sz w:val="24"/>
          <w:szCs w:val="24"/>
        </w:rPr>
        <w:t>.</w:t>
      </w:r>
      <w:r w:rsidR="001772EA" w:rsidRPr="002E3EC5">
        <w:rPr>
          <w:rFonts w:ascii="Times New Roman" w:hAnsi="Times New Roman"/>
          <w:sz w:val="24"/>
          <w:szCs w:val="24"/>
        </w:rPr>
        <w:t xml:space="preserve">M. </w:t>
      </w:r>
      <w:r w:rsidRPr="002E3EC5">
        <w:rPr>
          <w:rFonts w:ascii="Times New Roman" w:hAnsi="Times New Roman"/>
          <w:sz w:val="24"/>
          <w:szCs w:val="24"/>
        </w:rPr>
        <w:t xml:space="preserve">Obesidade e sedentarismo: fatores de risco para doenças </w:t>
      </w:r>
      <w:proofErr w:type="gramStart"/>
      <w:r w:rsidRPr="002E3EC5">
        <w:rPr>
          <w:rFonts w:ascii="Times New Roman" w:hAnsi="Times New Roman"/>
          <w:sz w:val="24"/>
          <w:szCs w:val="24"/>
        </w:rPr>
        <w:t>cardiovasculares.</w:t>
      </w:r>
      <w:proofErr w:type="gramEnd"/>
      <w:r w:rsidRPr="00F975C6">
        <w:rPr>
          <w:rFonts w:ascii="Times New Roman" w:hAnsi="Times New Roman"/>
          <w:b/>
          <w:sz w:val="24"/>
          <w:szCs w:val="24"/>
        </w:rPr>
        <w:t>Com. Ciências Saúde</w:t>
      </w:r>
      <w:r w:rsidRPr="002E3EC5">
        <w:rPr>
          <w:rFonts w:ascii="Times New Roman" w:hAnsi="Times New Roman"/>
          <w:sz w:val="24"/>
          <w:szCs w:val="24"/>
        </w:rPr>
        <w:t>, 24 (4): 375-384</w:t>
      </w:r>
      <w:r w:rsidR="004C0BA5">
        <w:rPr>
          <w:rFonts w:ascii="Times New Roman" w:hAnsi="Times New Roman"/>
          <w:sz w:val="24"/>
          <w:szCs w:val="24"/>
        </w:rPr>
        <w:t>, 2013.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5C37DE" w:rsidRPr="005F66CD" w:rsidRDefault="00A51AF7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5F66CD">
        <w:rPr>
          <w:rFonts w:ascii="Times New Roman" w:hAnsi="Times New Roman"/>
          <w:sz w:val="24"/>
          <w:szCs w:val="24"/>
          <w:lang w:eastAsia="pt-BR"/>
        </w:rPr>
        <w:t>-</w:t>
      </w:r>
      <w:r w:rsidRPr="002E3EC5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="004C0BA5" w:rsidRPr="002E3EC5">
        <w:rPr>
          <w:rFonts w:ascii="Times New Roman" w:hAnsi="Times New Roman"/>
          <w:sz w:val="24"/>
          <w:szCs w:val="24"/>
          <w:lang w:eastAsia="pt-BR"/>
        </w:rPr>
        <w:t>CLARO</w:t>
      </w:r>
      <w:r w:rsidR="004C0BA5">
        <w:rPr>
          <w:rFonts w:ascii="Times New Roman" w:hAnsi="Times New Roman"/>
          <w:sz w:val="24"/>
          <w:szCs w:val="24"/>
          <w:lang w:eastAsia="pt-BR"/>
        </w:rPr>
        <w:t>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R</w:t>
      </w:r>
      <w:r w:rsidR="004C0BA5">
        <w:rPr>
          <w:rFonts w:ascii="Times New Roman" w:hAnsi="Times New Roman"/>
          <w:sz w:val="24"/>
          <w:szCs w:val="24"/>
          <w:lang w:eastAsia="pt-BR"/>
        </w:rPr>
        <w:t>.M.</w:t>
      </w:r>
      <w:proofErr w:type="gramEnd"/>
      <w:r w:rsidR="004C0BA5">
        <w:rPr>
          <w:rFonts w:ascii="Times New Roman" w:hAnsi="Times New Roman"/>
          <w:sz w:val="24"/>
          <w:szCs w:val="24"/>
          <w:lang w:eastAsia="pt-BR"/>
        </w:rPr>
        <w:t>;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SANTOS</w:t>
      </w:r>
      <w:r w:rsidR="004C0BA5">
        <w:rPr>
          <w:rFonts w:ascii="Times New Roman" w:hAnsi="Times New Roman"/>
          <w:sz w:val="24"/>
          <w:szCs w:val="24"/>
          <w:lang w:eastAsia="pt-BR"/>
        </w:rPr>
        <w:t>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M</w:t>
      </w:r>
      <w:r w:rsidR="004C0BA5">
        <w:rPr>
          <w:rFonts w:ascii="Times New Roman" w:hAnsi="Times New Roman"/>
          <w:sz w:val="24"/>
          <w:szCs w:val="24"/>
          <w:lang w:eastAsia="pt-BR"/>
        </w:rPr>
        <w:t>.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>A</w:t>
      </w:r>
      <w:r w:rsidR="004C0BA5">
        <w:rPr>
          <w:rFonts w:ascii="Times New Roman" w:hAnsi="Times New Roman"/>
          <w:sz w:val="24"/>
          <w:szCs w:val="24"/>
          <w:lang w:eastAsia="pt-BR"/>
        </w:rPr>
        <w:t>.S.;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OLIVEIRA</w:t>
      </w:r>
      <w:r w:rsidR="004C0BA5">
        <w:rPr>
          <w:rFonts w:ascii="Times New Roman" w:hAnsi="Times New Roman"/>
          <w:sz w:val="24"/>
          <w:szCs w:val="24"/>
          <w:lang w:eastAsia="pt-BR"/>
        </w:rPr>
        <w:t>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T</w:t>
      </w:r>
      <w:r w:rsidR="004C0BA5">
        <w:rPr>
          <w:rFonts w:ascii="Times New Roman" w:hAnsi="Times New Roman"/>
          <w:sz w:val="24"/>
          <w:szCs w:val="24"/>
          <w:lang w:eastAsia="pt-BR"/>
        </w:rPr>
        <w:t>.P.;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PERERIRA</w:t>
      </w:r>
      <w:r w:rsidR="004C0BA5">
        <w:rPr>
          <w:rFonts w:ascii="Times New Roman" w:hAnsi="Times New Roman"/>
          <w:sz w:val="24"/>
          <w:szCs w:val="24"/>
          <w:lang w:eastAsia="pt-BR"/>
        </w:rPr>
        <w:t>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C</w:t>
      </w:r>
      <w:r w:rsidR="004C0BA5">
        <w:rPr>
          <w:rFonts w:ascii="Times New Roman" w:hAnsi="Times New Roman"/>
          <w:sz w:val="24"/>
          <w:szCs w:val="24"/>
          <w:lang w:eastAsia="pt-BR"/>
        </w:rPr>
        <w:t>.A.,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SZWARCWALD</w:t>
      </w:r>
      <w:r w:rsidR="004C0BA5">
        <w:rPr>
          <w:rFonts w:ascii="Times New Roman" w:hAnsi="Times New Roman"/>
          <w:sz w:val="24"/>
          <w:szCs w:val="24"/>
          <w:lang w:eastAsia="pt-BR"/>
        </w:rPr>
        <w:t>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C</w:t>
      </w:r>
      <w:r w:rsidR="004C0BA5">
        <w:rPr>
          <w:rFonts w:ascii="Times New Roman" w:hAnsi="Times New Roman"/>
          <w:sz w:val="24"/>
          <w:szCs w:val="24"/>
          <w:lang w:eastAsia="pt-BR"/>
        </w:rPr>
        <w:t>.L.;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MALTA</w:t>
      </w:r>
      <w:r w:rsidR="004C0BA5">
        <w:rPr>
          <w:rFonts w:ascii="Times New Roman" w:hAnsi="Times New Roman"/>
          <w:sz w:val="24"/>
          <w:szCs w:val="24"/>
          <w:lang w:eastAsia="pt-BR"/>
        </w:rPr>
        <w:t>,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 xml:space="preserve"> D</w:t>
      </w:r>
      <w:r w:rsidR="004C0BA5">
        <w:rPr>
          <w:rFonts w:ascii="Times New Roman" w:hAnsi="Times New Roman"/>
          <w:sz w:val="24"/>
          <w:szCs w:val="24"/>
          <w:lang w:eastAsia="pt-BR"/>
        </w:rPr>
        <w:t>.</w:t>
      </w:r>
      <w:r w:rsidR="004C0BA5" w:rsidRPr="002E3EC5">
        <w:rPr>
          <w:rFonts w:ascii="Times New Roman" w:hAnsi="Times New Roman"/>
          <w:sz w:val="24"/>
          <w:szCs w:val="24"/>
          <w:lang w:eastAsia="pt-BR"/>
        </w:rPr>
        <w:t>C.</w:t>
      </w:r>
      <w:r w:rsidRPr="004C0BA5">
        <w:rPr>
          <w:rFonts w:ascii="Times New Roman" w:hAnsi="Times New Roman"/>
          <w:sz w:val="24"/>
          <w:szCs w:val="24"/>
          <w:lang w:eastAsia="pt-BR"/>
        </w:rPr>
        <w:t xml:space="preserve"> Consumo de alimentos não saudáveis relacionados a doenças crônicas não transmissíveis no Brasil: Pesquisa Nacional de Saúde,</w:t>
      </w:r>
      <w:r w:rsidR="00F975C6" w:rsidRPr="004C0BA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4C0BA5">
        <w:rPr>
          <w:rFonts w:ascii="Times New Roman" w:hAnsi="Times New Roman"/>
          <w:sz w:val="24"/>
          <w:szCs w:val="24"/>
          <w:lang w:eastAsia="pt-BR"/>
        </w:rPr>
        <w:t>2013.</w:t>
      </w:r>
      <w:r w:rsidRPr="002E3EC5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4C0BA5">
        <w:rPr>
          <w:rFonts w:ascii="Times New Roman" w:hAnsi="Times New Roman"/>
          <w:b/>
          <w:sz w:val="24"/>
          <w:szCs w:val="24"/>
          <w:lang w:eastAsia="pt-BR"/>
        </w:rPr>
        <w:t>Epidemiol</w:t>
      </w:r>
      <w:proofErr w:type="spellEnd"/>
      <w:r w:rsidRPr="004C0BA5">
        <w:rPr>
          <w:rFonts w:ascii="Times New Roman" w:hAnsi="Times New Roman"/>
          <w:b/>
          <w:sz w:val="24"/>
          <w:szCs w:val="24"/>
          <w:lang w:eastAsia="pt-BR"/>
        </w:rPr>
        <w:t xml:space="preserve">. Serv. </w:t>
      </w:r>
      <w:r w:rsidRPr="005F66CD">
        <w:rPr>
          <w:rFonts w:ascii="Times New Roman" w:hAnsi="Times New Roman"/>
          <w:b/>
          <w:sz w:val="24"/>
          <w:szCs w:val="24"/>
          <w:lang w:eastAsia="pt-BR"/>
        </w:rPr>
        <w:t xml:space="preserve">Saúde </w:t>
      </w:r>
      <w:proofErr w:type="spellStart"/>
      <w:r w:rsidRPr="005F66CD">
        <w:rPr>
          <w:rFonts w:ascii="Times New Roman" w:hAnsi="Times New Roman"/>
          <w:b/>
          <w:sz w:val="24"/>
          <w:szCs w:val="24"/>
          <w:lang w:eastAsia="pt-BR"/>
        </w:rPr>
        <w:t>Brasilia</w:t>
      </w:r>
      <w:proofErr w:type="spellEnd"/>
      <w:r w:rsidRPr="005F66CD">
        <w:rPr>
          <w:rFonts w:ascii="Times New Roman" w:hAnsi="Times New Roman"/>
          <w:sz w:val="24"/>
          <w:szCs w:val="24"/>
          <w:lang w:eastAsia="pt-BR"/>
        </w:rPr>
        <w:t xml:space="preserve">, </w:t>
      </w:r>
      <w:proofErr w:type="gramStart"/>
      <w:r w:rsidRPr="005F66CD">
        <w:rPr>
          <w:rFonts w:ascii="Times New Roman" w:hAnsi="Times New Roman"/>
          <w:sz w:val="24"/>
          <w:szCs w:val="24"/>
          <w:lang w:eastAsia="pt-BR"/>
        </w:rPr>
        <w:t>97(5):</w:t>
      </w:r>
      <w:proofErr w:type="gramEnd"/>
      <w:r w:rsidRPr="005F66CD">
        <w:rPr>
          <w:rFonts w:ascii="Times New Roman" w:hAnsi="Times New Roman"/>
          <w:sz w:val="24"/>
          <w:szCs w:val="24"/>
          <w:lang w:eastAsia="pt-BR"/>
        </w:rPr>
        <w:t>609-15</w:t>
      </w:r>
      <w:r w:rsidR="004C0BA5" w:rsidRPr="005F66CD">
        <w:rPr>
          <w:rFonts w:ascii="Times New Roman" w:hAnsi="Times New Roman"/>
          <w:sz w:val="24"/>
          <w:szCs w:val="24"/>
          <w:lang w:eastAsia="pt-BR"/>
        </w:rPr>
        <w:t>, 2015</w:t>
      </w:r>
      <w:r w:rsidR="00F975C6" w:rsidRPr="005F66CD">
        <w:rPr>
          <w:rFonts w:ascii="Times New Roman" w:hAnsi="Times New Roman"/>
          <w:sz w:val="24"/>
          <w:szCs w:val="24"/>
          <w:lang w:eastAsia="pt-BR"/>
        </w:rPr>
        <w:t>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Default="00ED6817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  <w:r w:rsidRPr="005F66CD">
        <w:rPr>
          <w:rFonts w:ascii="Times New Roman" w:hAnsi="Times New Roman"/>
          <w:sz w:val="24"/>
          <w:szCs w:val="24"/>
          <w:lang w:eastAsia="pt-BR"/>
        </w:rPr>
        <w:t>-</w:t>
      </w:r>
      <w:r w:rsidRPr="005F66CD">
        <w:rPr>
          <w:rFonts w:ascii="Times New Roman" w:hAnsi="Times New Roman"/>
          <w:sz w:val="24"/>
          <w:szCs w:val="24"/>
        </w:rPr>
        <w:t xml:space="preserve"> IFLAND, J.R.; PREUSS, H.G.; MARCUS, M.T.; ROURKE, K.M.; TAYLOR, W.C.; BURAU, K.</w:t>
      </w:r>
      <w:r w:rsidR="00A51AF7" w:rsidRPr="005F66C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51AF7" w:rsidRPr="005F66CD">
        <w:rPr>
          <w:rFonts w:ascii="Times New Roman" w:hAnsi="Times New Roman"/>
          <w:sz w:val="24"/>
          <w:szCs w:val="24"/>
        </w:rPr>
        <w:t>et</w:t>
      </w:r>
      <w:proofErr w:type="gramEnd"/>
      <w:r w:rsidR="00A51AF7" w:rsidRPr="005F66CD">
        <w:rPr>
          <w:rFonts w:ascii="Times New Roman" w:hAnsi="Times New Roman"/>
          <w:sz w:val="24"/>
          <w:szCs w:val="24"/>
        </w:rPr>
        <w:t xml:space="preserve"> al. </w:t>
      </w:r>
      <w:r w:rsidR="00A51AF7" w:rsidRPr="002E3EC5">
        <w:rPr>
          <w:rFonts w:ascii="Times New Roman" w:hAnsi="Times New Roman"/>
          <w:sz w:val="24"/>
          <w:szCs w:val="24"/>
          <w:lang w:val="en-US"/>
        </w:rPr>
        <w:t xml:space="preserve">Refined food addiction: a classic substance use disorder. </w:t>
      </w:r>
      <w:r w:rsidR="00A51AF7" w:rsidRPr="00F975C6">
        <w:rPr>
          <w:rFonts w:ascii="Times New Roman" w:hAnsi="Times New Roman"/>
          <w:b/>
          <w:sz w:val="24"/>
          <w:szCs w:val="24"/>
          <w:lang w:val="en-US"/>
        </w:rPr>
        <w:t>Elsevier</w:t>
      </w:r>
      <w:r w:rsidR="00A51AF7" w:rsidRPr="002E3EC5">
        <w:rPr>
          <w:rFonts w:ascii="Times New Roman" w:hAnsi="Times New Roman"/>
          <w:sz w:val="24"/>
          <w:szCs w:val="24"/>
          <w:lang w:val="en-US"/>
        </w:rPr>
        <w:t>, 72 (5):518-26</w:t>
      </w:r>
      <w:r>
        <w:rPr>
          <w:rFonts w:ascii="Times New Roman" w:hAnsi="Times New Roman"/>
          <w:sz w:val="24"/>
          <w:szCs w:val="24"/>
          <w:lang w:val="en-US"/>
        </w:rPr>
        <w:t>, 2009</w:t>
      </w:r>
      <w:r w:rsidR="00F975C6">
        <w:rPr>
          <w:rFonts w:ascii="Times New Roman" w:hAnsi="Times New Roman"/>
          <w:sz w:val="24"/>
          <w:szCs w:val="24"/>
          <w:lang w:val="en-US"/>
        </w:rPr>
        <w:t>.</w:t>
      </w: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E3EC5" w:rsidRPr="002E3EC5" w:rsidRDefault="005C37DE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5F66CD">
        <w:rPr>
          <w:rFonts w:ascii="Times New Roman" w:hAnsi="Times New Roman"/>
          <w:sz w:val="24"/>
          <w:lang w:val="en-US"/>
        </w:rPr>
        <w:t xml:space="preserve"> </w:t>
      </w:r>
      <w:r w:rsidR="002E3EC5" w:rsidRPr="005F66CD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ED6817" w:rsidRPr="005F66CD">
        <w:rPr>
          <w:rFonts w:ascii="Times New Roman" w:hAnsi="Times New Roman"/>
          <w:sz w:val="24"/>
          <w:szCs w:val="24"/>
          <w:lang w:val="en-US" w:eastAsia="pt-BR"/>
        </w:rPr>
        <w:t xml:space="preserve">LOUZADA, M.L.C.; MARTINS, A.P.B.; CANELLA, D.S.; BARALDI, L.G.; LEVY, R.B.; CLARO, R.M. </w:t>
      </w:r>
      <w:r w:rsidR="002E3EC5" w:rsidRPr="005F66C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gramStart"/>
      <w:r w:rsidR="002E3EC5" w:rsidRPr="005F66CD">
        <w:rPr>
          <w:rFonts w:ascii="Times New Roman" w:hAnsi="Times New Roman"/>
          <w:sz w:val="24"/>
          <w:szCs w:val="24"/>
          <w:lang w:val="en-US" w:eastAsia="pt-BR"/>
        </w:rPr>
        <w:t>et</w:t>
      </w:r>
      <w:proofErr w:type="gramEnd"/>
      <w:r w:rsidR="002E3EC5" w:rsidRPr="005F66CD">
        <w:rPr>
          <w:rFonts w:ascii="Times New Roman" w:hAnsi="Times New Roman"/>
          <w:sz w:val="24"/>
          <w:szCs w:val="24"/>
          <w:lang w:val="en-US" w:eastAsia="pt-BR"/>
        </w:rPr>
        <w:t xml:space="preserve"> al. </w:t>
      </w:r>
      <w:r w:rsidR="002E3EC5" w:rsidRPr="002E3EC5">
        <w:rPr>
          <w:rFonts w:ascii="Times New Roman" w:hAnsi="Times New Roman"/>
          <w:sz w:val="24"/>
          <w:szCs w:val="24"/>
          <w:lang w:val="en-US" w:eastAsia="pt-BR"/>
        </w:rPr>
        <w:t xml:space="preserve">Ultra-processed foods and the nutritional dietary profile in Brazil. </w:t>
      </w:r>
      <w:r w:rsidR="002E3EC5" w:rsidRPr="005F66CD">
        <w:rPr>
          <w:rFonts w:ascii="Times New Roman" w:hAnsi="Times New Roman"/>
          <w:b/>
          <w:sz w:val="24"/>
          <w:szCs w:val="24"/>
          <w:lang w:eastAsia="pt-BR"/>
        </w:rPr>
        <w:t>Rev. Saúde Pública</w:t>
      </w:r>
      <w:r w:rsidR="002E3EC5" w:rsidRPr="005F66CD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ED6817" w:rsidRPr="005F66CD">
        <w:rPr>
          <w:rFonts w:ascii="Times New Roman" w:hAnsi="Times New Roman"/>
          <w:sz w:val="24"/>
          <w:szCs w:val="24"/>
          <w:lang w:eastAsia="pt-BR"/>
        </w:rPr>
        <w:t xml:space="preserve">49-38. </w:t>
      </w:r>
      <w:proofErr w:type="gramStart"/>
      <w:r w:rsidR="00ED6817" w:rsidRPr="005F66CD">
        <w:rPr>
          <w:rFonts w:ascii="Times New Roman" w:hAnsi="Times New Roman"/>
          <w:sz w:val="24"/>
          <w:szCs w:val="24"/>
          <w:lang w:eastAsia="pt-BR"/>
        </w:rPr>
        <w:t>a</w:t>
      </w:r>
      <w:proofErr w:type="gramEnd"/>
      <w:r w:rsidR="00ED6817" w:rsidRPr="005F66CD">
        <w:rPr>
          <w:rFonts w:ascii="Times New Roman" w:hAnsi="Times New Roman"/>
          <w:sz w:val="24"/>
          <w:szCs w:val="24"/>
          <w:lang w:eastAsia="pt-BR"/>
        </w:rPr>
        <w:t>, 2015.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5C37DE" w:rsidRPr="002E3EC5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  <w:r w:rsidRPr="002E3EC5">
        <w:rPr>
          <w:rFonts w:ascii="Times New Roman" w:hAnsi="Times New Roman"/>
          <w:sz w:val="24"/>
          <w:szCs w:val="24"/>
        </w:rPr>
        <w:t xml:space="preserve">- </w:t>
      </w:r>
      <w:r w:rsidR="00ED6817" w:rsidRPr="002E3EC5">
        <w:rPr>
          <w:rFonts w:ascii="Times New Roman" w:hAnsi="Times New Roman"/>
          <w:sz w:val="24"/>
          <w:szCs w:val="24"/>
        </w:rPr>
        <w:t>LOUZADA</w:t>
      </w:r>
      <w:r w:rsidR="00ED6817">
        <w:rPr>
          <w:rFonts w:ascii="Times New Roman" w:hAnsi="Times New Roman"/>
          <w:sz w:val="24"/>
          <w:szCs w:val="24"/>
        </w:rPr>
        <w:t>,</w:t>
      </w:r>
      <w:r w:rsidR="00ED6817" w:rsidRPr="002E3EC5">
        <w:rPr>
          <w:rFonts w:ascii="Times New Roman" w:hAnsi="Times New Roman"/>
          <w:sz w:val="24"/>
          <w:szCs w:val="24"/>
        </w:rPr>
        <w:t xml:space="preserve"> M</w:t>
      </w:r>
      <w:r w:rsidR="00ED6817">
        <w:rPr>
          <w:rFonts w:ascii="Times New Roman" w:hAnsi="Times New Roman"/>
          <w:sz w:val="24"/>
          <w:szCs w:val="24"/>
        </w:rPr>
        <w:t>.</w:t>
      </w:r>
      <w:r w:rsidR="00ED6817" w:rsidRPr="002E3EC5">
        <w:rPr>
          <w:rFonts w:ascii="Times New Roman" w:hAnsi="Times New Roman"/>
          <w:sz w:val="24"/>
          <w:szCs w:val="24"/>
        </w:rPr>
        <w:t>L</w:t>
      </w:r>
      <w:r w:rsidR="00ED6817">
        <w:rPr>
          <w:rFonts w:ascii="Times New Roman" w:hAnsi="Times New Roman"/>
          <w:sz w:val="24"/>
          <w:szCs w:val="24"/>
        </w:rPr>
        <w:t>.C.;</w:t>
      </w:r>
      <w:r w:rsidR="00ED6817" w:rsidRPr="002E3EC5">
        <w:rPr>
          <w:rFonts w:ascii="Times New Roman" w:hAnsi="Times New Roman"/>
          <w:sz w:val="24"/>
          <w:szCs w:val="24"/>
        </w:rPr>
        <w:t xml:space="preserve"> MARTINS</w:t>
      </w:r>
      <w:r w:rsidR="00ED6817">
        <w:rPr>
          <w:rFonts w:ascii="Times New Roman" w:hAnsi="Times New Roman"/>
          <w:sz w:val="24"/>
          <w:szCs w:val="24"/>
        </w:rPr>
        <w:t>,</w:t>
      </w:r>
      <w:r w:rsidR="00ED6817" w:rsidRPr="002E3EC5">
        <w:rPr>
          <w:rFonts w:ascii="Times New Roman" w:hAnsi="Times New Roman"/>
          <w:sz w:val="24"/>
          <w:szCs w:val="24"/>
        </w:rPr>
        <w:t xml:space="preserve"> A</w:t>
      </w:r>
      <w:r w:rsidR="00ED6817">
        <w:rPr>
          <w:rFonts w:ascii="Times New Roman" w:hAnsi="Times New Roman"/>
          <w:sz w:val="24"/>
          <w:szCs w:val="24"/>
        </w:rPr>
        <w:t>.</w:t>
      </w:r>
      <w:r w:rsidR="00ED6817" w:rsidRPr="002E3EC5">
        <w:rPr>
          <w:rFonts w:ascii="Times New Roman" w:hAnsi="Times New Roman"/>
          <w:sz w:val="24"/>
          <w:szCs w:val="24"/>
        </w:rPr>
        <w:t>P</w:t>
      </w:r>
      <w:r w:rsidR="00ED6817">
        <w:rPr>
          <w:rFonts w:ascii="Times New Roman" w:hAnsi="Times New Roman"/>
          <w:sz w:val="24"/>
          <w:szCs w:val="24"/>
        </w:rPr>
        <w:t>.B.;</w:t>
      </w:r>
      <w:r w:rsidR="00ED6817" w:rsidRPr="002E3EC5">
        <w:rPr>
          <w:rFonts w:ascii="Times New Roman" w:hAnsi="Times New Roman"/>
          <w:sz w:val="24"/>
          <w:szCs w:val="24"/>
        </w:rPr>
        <w:t xml:space="preserve"> CANELLA</w:t>
      </w:r>
      <w:r w:rsidR="00ED6817">
        <w:rPr>
          <w:rFonts w:ascii="Times New Roman" w:hAnsi="Times New Roman"/>
          <w:sz w:val="24"/>
          <w:szCs w:val="24"/>
        </w:rPr>
        <w:t>,</w:t>
      </w:r>
      <w:r w:rsidR="00ED6817" w:rsidRPr="002E3EC5">
        <w:rPr>
          <w:rFonts w:ascii="Times New Roman" w:hAnsi="Times New Roman"/>
          <w:sz w:val="24"/>
          <w:szCs w:val="24"/>
        </w:rPr>
        <w:t xml:space="preserve"> D</w:t>
      </w:r>
      <w:r w:rsidR="00ED6817">
        <w:rPr>
          <w:rFonts w:ascii="Times New Roman" w:hAnsi="Times New Roman"/>
          <w:sz w:val="24"/>
          <w:szCs w:val="24"/>
        </w:rPr>
        <w:t>.S.;</w:t>
      </w:r>
      <w:r w:rsidR="00ED6817" w:rsidRPr="002E3EC5">
        <w:rPr>
          <w:rFonts w:ascii="Times New Roman" w:hAnsi="Times New Roman"/>
          <w:sz w:val="24"/>
          <w:szCs w:val="24"/>
        </w:rPr>
        <w:t xml:space="preserve"> BARALDI</w:t>
      </w:r>
      <w:r w:rsidR="00ED6817">
        <w:rPr>
          <w:rFonts w:ascii="Times New Roman" w:hAnsi="Times New Roman"/>
          <w:sz w:val="24"/>
          <w:szCs w:val="24"/>
        </w:rPr>
        <w:t>,</w:t>
      </w:r>
      <w:r w:rsidR="00ED6817" w:rsidRPr="002E3EC5">
        <w:rPr>
          <w:rFonts w:ascii="Times New Roman" w:hAnsi="Times New Roman"/>
          <w:sz w:val="24"/>
          <w:szCs w:val="24"/>
        </w:rPr>
        <w:t xml:space="preserve"> L</w:t>
      </w:r>
      <w:r w:rsidR="00ED6817">
        <w:rPr>
          <w:rFonts w:ascii="Times New Roman" w:hAnsi="Times New Roman"/>
          <w:sz w:val="24"/>
          <w:szCs w:val="24"/>
        </w:rPr>
        <w:t>.</w:t>
      </w:r>
      <w:r w:rsidR="00ED6817" w:rsidRPr="002E3EC5">
        <w:rPr>
          <w:rFonts w:ascii="Times New Roman" w:hAnsi="Times New Roman"/>
          <w:sz w:val="24"/>
          <w:szCs w:val="24"/>
        </w:rPr>
        <w:t>G</w:t>
      </w:r>
      <w:r w:rsidR="00ED6817">
        <w:rPr>
          <w:rFonts w:ascii="Times New Roman" w:hAnsi="Times New Roman"/>
          <w:sz w:val="24"/>
          <w:szCs w:val="24"/>
        </w:rPr>
        <w:t>.;</w:t>
      </w:r>
      <w:r w:rsidR="00ED6817" w:rsidRPr="002E3EC5">
        <w:rPr>
          <w:rFonts w:ascii="Times New Roman" w:hAnsi="Times New Roman"/>
          <w:sz w:val="24"/>
          <w:szCs w:val="24"/>
        </w:rPr>
        <w:t xml:space="preserve"> LEVY</w:t>
      </w:r>
      <w:r w:rsidR="00ED6817">
        <w:rPr>
          <w:rFonts w:ascii="Times New Roman" w:hAnsi="Times New Roman"/>
          <w:sz w:val="24"/>
          <w:szCs w:val="24"/>
        </w:rPr>
        <w:t>,</w:t>
      </w:r>
      <w:r w:rsidR="00ED6817" w:rsidRPr="002E3EC5">
        <w:rPr>
          <w:rFonts w:ascii="Times New Roman" w:hAnsi="Times New Roman"/>
          <w:sz w:val="24"/>
          <w:szCs w:val="24"/>
        </w:rPr>
        <w:t xml:space="preserve"> R</w:t>
      </w:r>
      <w:r w:rsidR="00ED6817">
        <w:rPr>
          <w:rFonts w:ascii="Times New Roman" w:hAnsi="Times New Roman"/>
          <w:sz w:val="24"/>
          <w:szCs w:val="24"/>
        </w:rPr>
        <w:t>.B.;</w:t>
      </w:r>
      <w:r w:rsidR="00ED6817" w:rsidRPr="002E3EC5">
        <w:rPr>
          <w:rFonts w:ascii="Times New Roman" w:hAnsi="Times New Roman"/>
          <w:sz w:val="24"/>
          <w:szCs w:val="24"/>
        </w:rPr>
        <w:t xml:space="preserve"> CLARO</w:t>
      </w:r>
      <w:r w:rsidR="00ED6817">
        <w:rPr>
          <w:rFonts w:ascii="Times New Roman" w:hAnsi="Times New Roman"/>
          <w:sz w:val="24"/>
          <w:szCs w:val="24"/>
        </w:rPr>
        <w:t>,</w:t>
      </w:r>
      <w:r w:rsidR="00ED6817" w:rsidRPr="002E3EC5">
        <w:rPr>
          <w:rFonts w:ascii="Times New Roman" w:hAnsi="Times New Roman"/>
          <w:sz w:val="24"/>
          <w:szCs w:val="24"/>
        </w:rPr>
        <w:t xml:space="preserve"> R</w:t>
      </w:r>
      <w:r w:rsidR="00ED6817">
        <w:rPr>
          <w:rFonts w:ascii="Times New Roman" w:hAnsi="Times New Roman"/>
          <w:sz w:val="24"/>
          <w:szCs w:val="24"/>
        </w:rPr>
        <w:t>.M.</w:t>
      </w:r>
      <w:r w:rsidR="005C37DE" w:rsidRPr="002E3E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C37DE" w:rsidRPr="002E3EC5">
        <w:rPr>
          <w:rFonts w:ascii="Times New Roman" w:hAnsi="Times New Roman"/>
          <w:sz w:val="24"/>
          <w:szCs w:val="24"/>
        </w:rPr>
        <w:t>et</w:t>
      </w:r>
      <w:proofErr w:type="gramEnd"/>
      <w:r w:rsidR="005C37DE" w:rsidRPr="002E3EC5">
        <w:rPr>
          <w:rFonts w:ascii="Times New Roman" w:hAnsi="Times New Roman"/>
          <w:sz w:val="24"/>
          <w:szCs w:val="24"/>
        </w:rPr>
        <w:t xml:space="preserve"> al. Impacto de alimentos </w:t>
      </w:r>
      <w:proofErr w:type="spellStart"/>
      <w:r w:rsidR="005C37DE" w:rsidRPr="002E3EC5">
        <w:rPr>
          <w:rFonts w:ascii="Times New Roman" w:hAnsi="Times New Roman"/>
          <w:sz w:val="24"/>
          <w:szCs w:val="24"/>
        </w:rPr>
        <w:t>ultraprocessados</w:t>
      </w:r>
      <w:proofErr w:type="spellEnd"/>
      <w:r w:rsidR="005C37DE" w:rsidRPr="002E3EC5">
        <w:rPr>
          <w:rFonts w:ascii="Times New Roman" w:hAnsi="Times New Roman"/>
          <w:sz w:val="24"/>
          <w:szCs w:val="24"/>
        </w:rPr>
        <w:t xml:space="preserve"> sobre o teor de micronutrientes da dieta no Brasil. </w:t>
      </w:r>
      <w:r w:rsidR="005C37DE" w:rsidRPr="00F975C6">
        <w:rPr>
          <w:rFonts w:ascii="Times New Roman" w:hAnsi="Times New Roman"/>
          <w:b/>
          <w:sz w:val="24"/>
          <w:szCs w:val="24"/>
        </w:rPr>
        <w:t>Rev. Saúde Pública</w:t>
      </w:r>
      <w:r w:rsidR="005C37DE" w:rsidRPr="002E3EC5">
        <w:rPr>
          <w:rFonts w:ascii="Times New Roman" w:hAnsi="Times New Roman"/>
          <w:b/>
          <w:sz w:val="24"/>
          <w:szCs w:val="24"/>
        </w:rPr>
        <w:t>,</w:t>
      </w:r>
      <w:r w:rsidR="005C37DE" w:rsidRPr="002E3EC5">
        <w:rPr>
          <w:rFonts w:ascii="Times New Roman" w:hAnsi="Times New Roman"/>
          <w:sz w:val="24"/>
          <w:szCs w:val="24"/>
        </w:rPr>
        <w:t xml:space="preserve"> 49:45 b</w:t>
      </w:r>
      <w:r w:rsidR="00ED6817">
        <w:rPr>
          <w:rFonts w:ascii="Times New Roman" w:hAnsi="Times New Roman"/>
          <w:sz w:val="24"/>
          <w:szCs w:val="24"/>
        </w:rPr>
        <w:t>, 2015</w:t>
      </w:r>
      <w:r w:rsidR="005C37DE" w:rsidRPr="002E3EC5">
        <w:rPr>
          <w:rFonts w:ascii="Times New Roman" w:hAnsi="Times New Roman"/>
          <w:sz w:val="24"/>
          <w:szCs w:val="24"/>
        </w:rPr>
        <w:t>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P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5F66CD">
        <w:rPr>
          <w:rFonts w:ascii="Times New Roman" w:hAnsi="Times New Roman"/>
          <w:sz w:val="24"/>
          <w:szCs w:val="24"/>
          <w:lang w:eastAsia="pt-BR"/>
        </w:rPr>
        <w:lastRenderedPageBreak/>
        <w:t xml:space="preserve">- </w:t>
      </w:r>
      <w:r w:rsidR="00492CA1" w:rsidRPr="005F66CD">
        <w:rPr>
          <w:rFonts w:ascii="Times New Roman" w:hAnsi="Times New Roman"/>
          <w:sz w:val="24"/>
          <w:szCs w:val="24"/>
          <w:lang w:eastAsia="pt-BR"/>
        </w:rPr>
        <w:t>LOUZADA, M.L.C.; MARTINS, A.P.B.; CANELLA, D.S.; BARALDI, L.G.; LEVY, R.B.; CLARO, M.R.</w:t>
      </w:r>
      <w:r w:rsidRPr="005F66CD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5F66CD">
        <w:rPr>
          <w:rFonts w:ascii="Times New Roman" w:hAnsi="Times New Roman"/>
          <w:sz w:val="24"/>
          <w:szCs w:val="24"/>
          <w:lang w:eastAsia="pt-BR"/>
        </w:rPr>
        <w:t>et</w:t>
      </w:r>
      <w:proofErr w:type="gramEnd"/>
      <w:r w:rsidRPr="005F66CD">
        <w:rPr>
          <w:rFonts w:ascii="Times New Roman" w:hAnsi="Times New Roman"/>
          <w:sz w:val="24"/>
          <w:szCs w:val="24"/>
          <w:lang w:eastAsia="pt-BR"/>
        </w:rPr>
        <w:t xml:space="preserve"> al. </w:t>
      </w:r>
      <w:r w:rsidRPr="002E3EC5">
        <w:rPr>
          <w:rFonts w:ascii="Times New Roman" w:hAnsi="Times New Roman"/>
          <w:sz w:val="24"/>
          <w:szCs w:val="24"/>
          <w:lang w:eastAsia="pt-BR"/>
        </w:rPr>
        <w:t xml:space="preserve">Alimentos </w:t>
      </w:r>
      <w:proofErr w:type="spellStart"/>
      <w:r w:rsidRPr="002E3EC5">
        <w:rPr>
          <w:rFonts w:ascii="Times New Roman" w:hAnsi="Times New Roman"/>
          <w:sz w:val="24"/>
          <w:szCs w:val="24"/>
          <w:lang w:eastAsia="pt-BR"/>
        </w:rPr>
        <w:t>ultraprocessados</w:t>
      </w:r>
      <w:proofErr w:type="spellEnd"/>
      <w:r w:rsidRPr="002E3EC5">
        <w:rPr>
          <w:rFonts w:ascii="Times New Roman" w:hAnsi="Times New Roman"/>
          <w:sz w:val="24"/>
          <w:szCs w:val="24"/>
          <w:lang w:eastAsia="pt-BR"/>
        </w:rPr>
        <w:t xml:space="preserve"> e indicadores do perfil nutricional da dieta associados a obesidade e doenças crônicas não transmissíveis. </w:t>
      </w:r>
      <w:r w:rsidRPr="00F975C6">
        <w:rPr>
          <w:rFonts w:ascii="Times New Roman" w:hAnsi="Times New Roman"/>
          <w:b/>
          <w:sz w:val="24"/>
          <w:szCs w:val="24"/>
          <w:lang w:eastAsia="pt-BR"/>
        </w:rPr>
        <w:t>Rev. Saúde Pública</w:t>
      </w:r>
      <w:r w:rsidR="00492CA1">
        <w:rPr>
          <w:rFonts w:ascii="Times New Roman" w:hAnsi="Times New Roman"/>
          <w:sz w:val="24"/>
          <w:szCs w:val="24"/>
          <w:lang w:eastAsia="pt-BR"/>
        </w:rPr>
        <w:t>,</w:t>
      </w:r>
      <w:r w:rsidRPr="002E3EC5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2E3EC5">
        <w:rPr>
          <w:rFonts w:ascii="Times New Roman" w:hAnsi="Times New Roman"/>
          <w:sz w:val="24"/>
          <w:szCs w:val="24"/>
          <w:lang w:eastAsia="pt-BR"/>
        </w:rPr>
        <w:t>49:38</w:t>
      </w:r>
      <w:proofErr w:type="gramEnd"/>
      <w:r w:rsidRPr="002E3EC5">
        <w:rPr>
          <w:rFonts w:ascii="Times New Roman" w:hAnsi="Times New Roman"/>
          <w:sz w:val="24"/>
          <w:szCs w:val="24"/>
          <w:lang w:eastAsia="pt-BR"/>
        </w:rPr>
        <w:t xml:space="preserve"> c</w:t>
      </w:r>
      <w:r w:rsidR="00492CA1">
        <w:rPr>
          <w:rFonts w:ascii="Times New Roman" w:hAnsi="Times New Roman"/>
          <w:sz w:val="24"/>
          <w:szCs w:val="24"/>
          <w:lang w:eastAsia="pt-BR"/>
        </w:rPr>
        <w:t>, 2015</w:t>
      </w:r>
      <w:r w:rsidRPr="002E3EC5">
        <w:rPr>
          <w:rFonts w:ascii="Times New Roman" w:hAnsi="Times New Roman"/>
          <w:sz w:val="24"/>
          <w:szCs w:val="24"/>
          <w:lang w:eastAsia="pt-BR"/>
        </w:rPr>
        <w:t>.</w:t>
      </w:r>
    </w:p>
    <w:p w:rsidR="002E3EC5" w:rsidRDefault="002E3EC5" w:rsidP="008356BF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</w:p>
    <w:p w:rsidR="002E3EC5" w:rsidRDefault="002E3EC5" w:rsidP="008356BF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</w:p>
    <w:p w:rsidR="002572F3" w:rsidRPr="00492CA1" w:rsidRDefault="002E3EC5" w:rsidP="008356BF">
      <w:pPr>
        <w:autoSpaceDE w:val="0"/>
        <w:autoSpaceDN w:val="0"/>
        <w:adjustRightInd w:val="0"/>
        <w:spacing w:after="0" w:line="240" w:lineRule="auto"/>
        <w:rPr>
          <w:szCs w:val="24"/>
          <w:lang w:eastAsia="pt-BR"/>
        </w:rPr>
      </w:pPr>
      <w:r w:rsidRPr="002E3EC5">
        <w:rPr>
          <w:szCs w:val="24"/>
          <w:lang w:eastAsia="pt-BR"/>
        </w:rPr>
        <w:t xml:space="preserve">- </w:t>
      </w:r>
      <w:r w:rsidR="00492CA1" w:rsidRPr="002E3EC5">
        <w:rPr>
          <w:szCs w:val="24"/>
          <w:lang w:eastAsia="pt-BR"/>
        </w:rPr>
        <w:t>MARTINS</w:t>
      </w:r>
      <w:r w:rsidR="00492CA1">
        <w:rPr>
          <w:szCs w:val="24"/>
          <w:lang w:eastAsia="pt-BR"/>
        </w:rPr>
        <w:t>,</w:t>
      </w:r>
      <w:r w:rsidR="00492CA1" w:rsidRPr="002E3EC5">
        <w:rPr>
          <w:szCs w:val="24"/>
          <w:lang w:eastAsia="pt-BR"/>
        </w:rPr>
        <w:t xml:space="preserve"> A</w:t>
      </w:r>
      <w:r w:rsidR="00492CA1">
        <w:rPr>
          <w:szCs w:val="24"/>
          <w:lang w:eastAsia="pt-BR"/>
        </w:rPr>
        <w:t>.</w:t>
      </w:r>
      <w:r w:rsidR="00492CA1" w:rsidRPr="002E3EC5">
        <w:rPr>
          <w:szCs w:val="24"/>
          <w:lang w:eastAsia="pt-BR"/>
        </w:rPr>
        <w:t>P</w:t>
      </w:r>
      <w:r w:rsidR="00492CA1">
        <w:rPr>
          <w:szCs w:val="24"/>
          <w:lang w:eastAsia="pt-BR"/>
        </w:rPr>
        <w:t>.B.;</w:t>
      </w:r>
      <w:r w:rsidR="00492CA1" w:rsidRPr="002E3EC5">
        <w:rPr>
          <w:szCs w:val="24"/>
          <w:lang w:eastAsia="pt-BR"/>
        </w:rPr>
        <w:t xml:space="preserve"> LEVY</w:t>
      </w:r>
      <w:r w:rsidR="00492CA1">
        <w:rPr>
          <w:szCs w:val="24"/>
          <w:lang w:eastAsia="pt-BR"/>
        </w:rPr>
        <w:t>,</w:t>
      </w:r>
      <w:r w:rsidR="00492CA1" w:rsidRPr="002E3EC5">
        <w:rPr>
          <w:szCs w:val="24"/>
          <w:lang w:eastAsia="pt-BR"/>
        </w:rPr>
        <w:t xml:space="preserve"> R</w:t>
      </w:r>
      <w:r w:rsidR="00492CA1">
        <w:rPr>
          <w:szCs w:val="24"/>
          <w:lang w:eastAsia="pt-BR"/>
        </w:rPr>
        <w:t>.B.;</w:t>
      </w:r>
      <w:r w:rsidR="00492CA1" w:rsidRPr="002E3EC5">
        <w:rPr>
          <w:szCs w:val="24"/>
          <w:lang w:eastAsia="pt-BR"/>
        </w:rPr>
        <w:t xml:space="preserve"> CLARO</w:t>
      </w:r>
      <w:r w:rsidR="00492CA1">
        <w:rPr>
          <w:szCs w:val="24"/>
          <w:lang w:eastAsia="pt-BR"/>
        </w:rPr>
        <w:t>,</w:t>
      </w:r>
      <w:r w:rsidR="00492CA1" w:rsidRPr="002E3EC5">
        <w:rPr>
          <w:szCs w:val="24"/>
          <w:lang w:eastAsia="pt-BR"/>
        </w:rPr>
        <w:t xml:space="preserve"> R</w:t>
      </w:r>
      <w:r w:rsidR="00492CA1">
        <w:rPr>
          <w:szCs w:val="24"/>
          <w:lang w:eastAsia="pt-BR"/>
        </w:rPr>
        <w:t>.M.;</w:t>
      </w:r>
      <w:r w:rsidR="00492CA1" w:rsidRPr="002E3EC5">
        <w:rPr>
          <w:szCs w:val="24"/>
          <w:lang w:eastAsia="pt-BR"/>
        </w:rPr>
        <w:t xml:space="preserve"> MOUBARAC</w:t>
      </w:r>
      <w:r w:rsidR="00492CA1">
        <w:rPr>
          <w:szCs w:val="24"/>
          <w:lang w:eastAsia="pt-BR"/>
        </w:rPr>
        <w:t>,</w:t>
      </w:r>
      <w:r w:rsidR="00492CA1" w:rsidRPr="002E3EC5">
        <w:rPr>
          <w:szCs w:val="24"/>
          <w:lang w:eastAsia="pt-BR"/>
        </w:rPr>
        <w:t xml:space="preserve"> J</w:t>
      </w:r>
      <w:r w:rsidR="00492CA1">
        <w:rPr>
          <w:szCs w:val="24"/>
          <w:lang w:eastAsia="pt-BR"/>
        </w:rPr>
        <w:t>.C.;</w:t>
      </w:r>
      <w:r w:rsidR="00492CA1" w:rsidRPr="002E3EC5">
        <w:rPr>
          <w:szCs w:val="24"/>
          <w:lang w:eastAsia="pt-BR"/>
        </w:rPr>
        <w:t xml:space="preserve"> MONTEIRO</w:t>
      </w:r>
      <w:r w:rsidR="00492CA1">
        <w:rPr>
          <w:szCs w:val="24"/>
          <w:lang w:eastAsia="pt-BR"/>
        </w:rPr>
        <w:t>,</w:t>
      </w:r>
      <w:r w:rsidR="00492CA1" w:rsidRPr="002E3EC5">
        <w:rPr>
          <w:szCs w:val="24"/>
          <w:lang w:eastAsia="pt-BR"/>
        </w:rPr>
        <w:t xml:space="preserve"> C</w:t>
      </w:r>
      <w:r w:rsidR="00492CA1">
        <w:rPr>
          <w:szCs w:val="24"/>
          <w:lang w:eastAsia="pt-BR"/>
        </w:rPr>
        <w:t>.</w:t>
      </w:r>
      <w:r w:rsidR="00492CA1" w:rsidRPr="002E3EC5">
        <w:rPr>
          <w:szCs w:val="24"/>
          <w:lang w:eastAsia="pt-BR"/>
        </w:rPr>
        <w:t>A</w:t>
      </w:r>
      <w:r w:rsidRPr="002E3EC5">
        <w:rPr>
          <w:szCs w:val="24"/>
          <w:lang w:eastAsia="pt-BR"/>
        </w:rPr>
        <w:t xml:space="preserve">. Participação </w:t>
      </w:r>
      <w:proofErr w:type="spellStart"/>
      <w:r w:rsidRPr="002E3EC5">
        <w:rPr>
          <w:szCs w:val="24"/>
          <w:lang w:eastAsia="pt-BR"/>
        </w:rPr>
        <w:t>crescent</w:t>
      </w:r>
      <w:proofErr w:type="spellEnd"/>
      <w:r w:rsidRPr="002E3EC5">
        <w:rPr>
          <w:szCs w:val="24"/>
          <w:lang w:eastAsia="pt-BR"/>
        </w:rPr>
        <w:t xml:space="preserve"> de produtos </w:t>
      </w:r>
      <w:proofErr w:type="spellStart"/>
      <w:r w:rsidRPr="002E3EC5">
        <w:rPr>
          <w:szCs w:val="24"/>
          <w:lang w:eastAsia="pt-BR"/>
        </w:rPr>
        <w:t>ultraprocessados</w:t>
      </w:r>
      <w:proofErr w:type="spellEnd"/>
      <w:r w:rsidRPr="002E3EC5">
        <w:rPr>
          <w:szCs w:val="24"/>
          <w:lang w:eastAsia="pt-BR"/>
        </w:rPr>
        <w:t xml:space="preserve"> na dieta brasileira (1987-2009). </w:t>
      </w:r>
      <w:r w:rsidRPr="00F975C6">
        <w:rPr>
          <w:b/>
          <w:szCs w:val="24"/>
          <w:lang w:eastAsia="pt-BR"/>
        </w:rPr>
        <w:t>Rev. Saúde Pública</w:t>
      </w:r>
      <w:r w:rsidRPr="002E3EC5">
        <w:rPr>
          <w:szCs w:val="24"/>
          <w:lang w:eastAsia="pt-BR"/>
        </w:rPr>
        <w:t xml:space="preserve">, </w:t>
      </w:r>
      <w:proofErr w:type="gramStart"/>
      <w:r w:rsidRPr="002E3EC5">
        <w:rPr>
          <w:szCs w:val="24"/>
          <w:lang w:eastAsia="pt-BR"/>
        </w:rPr>
        <w:t>47(40):</w:t>
      </w:r>
      <w:proofErr w:type="gramEnd"/>
      <w:r w:rsidRPr="002E3EC5">
        <w:rPr>
          <w:szCs w:val="24"/>
          <w:lang w:eastAsia="pt-BR"/>
        </w:rPr>
        <w:t>656-65</w:t>
      </w:r>
      <w:r w:rsidR="00492CA1">
        <w:rPr>
          <w:szCs w:val="24"/>
          <w:lang w:eastAsia="pt-BR"/>
        </w:rPr>
        <w:t>, 2013</w:t>
      </w:r>
      <w:r w:rsidRPr="002E3EC5">
        <w:rPr>
          <w:szCs w:val="24"/>
          <w:lang w:eastAsia="pt-BR"/>
        </w:rPr>
        <w:t>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2572F3" w:rsidRP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5F66CD"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A609DE" w:rsidRPr="005F66CD">
        <w:rPr>
          <w:rFonts w:ascii="Times New Roman" w:hAnsi="Times New Roman"/>
          <w:sz w:val="24"/>
          <w:szCs w:val="24"/>
          <w:lang w:eastAsia="pt-BR"/>
        </w:rPr>
        <w:t xml:space="preserve">MENDONÇA, R.D.; PIMENTA, A.M.; GEA, A.; FUENTE-ARRILLA, C.; MARTINEZ-GONZALEZ MA LOPES, A.C. </w:t>
      </w:r>
      <w:proofErr w:type="gramStart"/>
      <w:r w:rsidR="002572F3" w:rsidRPr="005F66CD">
        <w:rPr>
          <w:rFonts w:ascii="Times New Roman" w:hAnsi="Times New Roman"/>
          <w:sz w:val="24"/>
          <w:szCs w:val="24"/>
          <w:lang w:eastAsia="pt-BR"/>
        </w:rPr>
        <w:t>et</w:t>
      </w:r>
      <w:proofErr w:type="gramEnd"/>
      <w:r w:rsidR="002572F3" w:rsidRPr="005F66CD">
        <w:rPr>
          <w:rFonts w:ascii="Times New Roman" w:hAnsi="Times New Roman"/>
          <w:sz w:val="24"/>
          <w:szCs w:val="24"/>
          <w:lang w:eastAsia="pt-BR"/>
        </w:rPr>
        <w:t xml:space="preserve"> al. </w:t>
      </w:r>
      <w:proofErr w:type="spellStart"/>
      <w:r w:rsidR="002572F3" w:rsidRPr="002E3EC5">
        <w:rPr>
          <w:rFonts w:ascii="Times New Roman" w:hAnsi="Times New Roman"/>
          <w:sz w:val="24"/>
          <w:szCs w:val="24"/>
          <w:lang w:val="en-US" w:eastAsia="pt-BR"/>
        </w:rPr>
        <w:t>Ultraprocessed</w:t>
      </w:r>
      <w:proofErr w:type="spellEnd"/>
      <w:r w:rsidR="002572F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food consumption and risk of overweight and obesity: the University of Navarra Follow-Up (SUN) cohort study. </w:t>
      </w:r>
      <w:proofErr w:type="gramStart"/>
      <w:r w:rsidR="002572F3" w:rsidRPr="00F975C6">
        <w:rPr>
          <w:rFonts w:ascii="Times New Roman" w:hAnsi="Times New Roman"/>
          <w:b/>
          <w:sz w:val="24"/>
          <w:szCs w:val="24"/>
          <w:lang w:eastAsia="pt-BR"/>
        </w:rPr>
        <w:t>Am</w:t>
      </w:r>
      <w:proofErr w:type="gramEnd"/>
      <w:r w:rsidR="002572F3" w:rsidRPr="00F975C6">
        <w:rPr>
          <w:rFonts w:ascii="Times New Roman" w:hAnsi="Times New Roman"/>
          <w:b/>
          <w:sz w:val="24"/>
          <w:szCs w:val="24"/>
          <w:lang w:eastAsia="pt-BR"/>
        </w:rPr>
        <w:t xml:space="preserve">. J. </w:t>
      </w:r>
      <w:proofErr w:type="spellStart"/>
      <w:r w:rsidR="002572F3" w:rsidRPr="00F975C6">
        <w:rPr>
          <w:rFonts w:ascii="Times New Roman" w:hAnsi="Times New Roman"/>
          <w:b/>
          <w:sz w:val="24"/>
          <w:szCs w:val="24"/>
          <w:lang w:eastAsia="pt-BR"/>
        </w:rPr>
        <w:t>Clin</w:t>
      </w:r>
      <w:proofErr w:type="spellEnd"/>
      <w:r w:rsidR="002572F3" w:rsidRPr="00F975C6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proofErr w:type="spellStart"/>
      <w:r w:rsidR="002572F3" w:rsidRPr="00F975C6">
        <w:rPr>
          <w:rFonts w:ascii="Times New Roman" w:hAnsi="Times New Roman"/>
          <w:b/>
          <w:sz w:val="24"/>
          <w:szCs w:val="24"/>
          <w:lang w:eastAsia="pt-BR"/>
        </w:rPr>
        <w:t>Nutr</w:t>
      </w:r>
      <w:proofErr w:type="spellEnd"/>
      <w:r w:rsidR="00A609DE">
        <w:rPr>
          <w:rFonts w:ascii="Times New Roman" w:hAnsi="Times New Roman"/>
          <w:sz w:val="24"/>
          <w:szCs w:val="24"/>
          <w:lang w:eastAsia="pt-BR"/>
        </w:rPr>
        <w:t>,</w:t>
      </w:r>
      <w:proofErr w:type="gramStart"/>
      <w:r w:rsidR="00A609D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572F3" w:rsidRPr="002E3EC5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End"/>
      <w:r w:rsidR="002572F3" w:rsidRPr="002E3EC5">
        <w:rPr>
          <w:rFonts w:ascii="Times New Roman" w:hAnsi="Times New Roman"/>
          <w:sz w:val="24"/>
          <w:szCs w:val="24"/>
          <w:lang w:eastAsia="pt-BR"/>
        </w:rPr>
        <w:t>104 (5): 1433-1440</w:t>
      </w:r>
      <w:r w:rsidR="00A609DE">
        <w:rPr>
          <w:rFonts w:ascii="Times New Roman" w:hAnsi="Times New Roman"/>
          <w:sz w:val="24"/>
          <w:szCs w:val="24"/>
          <w:lang w:eastAsia="pt-BR"/>
        </w:rPr>
        <w:t>, 2016</w:t>
      </w:r>
      <w:r w:rsidR="002572F3" w:rsidRPr="002E3EC5">
        <w:rPr>
          <w:rFonts w:ascii="Times New Roman" w:hAnsi="Times New Roman"/>
          <w:sz w:val="24"/>
          <w:szCs w:val="24"/>
          <w:lang w:eastAsia="pt-BR"/>
        </w:rPr>
        <w:t>.</w:t>
      </w: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P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2E3EC5">
        <w:rPr>
          <w:rFonts w:ascii="Times New Roman" w:hAnsi="Times New Roman"/>
          <w:sz w:val="24"/>
          <w:szCs w:val="24"/>
          <w:lang w:eastAsia="pt-BR"/>
        </w:rPr>
        <w:t xml:space="preserve">- Ministério da Saúde. </w:t>
      </w:r>
      <w:r w:rsidRPr="0034746E">
        <w:rPr>
          <w:rFonts w:ascii="Times New Roman" w:hAnsi="Times New Roman"/>
          <w:b/>
          <w:sz w:val="24"/>
          <w:szCs w:val="24"/>
          <w:lang w:eastAsia="pt-BR"/>
        </w:rPr>
        <w:t>Guia alimentar para a população brasileira</w:t>
      </w:r>
      <w:r w:rsidRPr="002E3EC5">
        <w:rPr>
          <w:rFonts w:ascii="Times New Roman" w:hAnsi="Times New Roman"/>
          <w:sz w:val="24"/>
          <w:szCs w:val="24"/>
          <w:lang w:eastAsia="pt-BR"/>
        </w:rPr>
        <w:t xml:space="preserve">. </w:t>
      </w:r>
      <w:proofErr w:type="gramStart"/>
      <w:r w:rsidRPr="002E3EC5">
        <w:rPr>
          <w:rFonts w:ascii="Times New Roman" w:hAnsi="Times New Roman"/>
          <w:sz w:val="24"/>
          <w:szCs w:val="24"/>
          <w:lang w:eastAsia="pt-BR"/>
        </w:rPr>
        <w:t>2a.</w:t>
      </w:r>
      <w:proofErr w:type="gramEnd"/>
      <w:r w:rsidRPr="002E3EC5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Start"/>
      <w:r w:rsidRPr="002E3EC5">
        <w:rPr>
          <w:rFonts w:ascii="Times New Roman" w:hAnsi="Times New Roman"/>
          <w:sz w:val="24"/>
          <w:szCs w:val="24"/>
          <w:lang w:eastAsia="pt-BR"/>
        </w:rPr>
        <w:t>ed.</w:t>
      </w:r>
      <w:proofErr w:type="gramEnd"/>
      <w:r w:rsidRPr="002E3EC5">
        <w:rPr>
          <w:rFonts w:ascii="Times New Roman" w:hAnsi="Times New Roman"/>
          <w:sz w:val="24"/>
          <w:szCs w:val="24"/>
          <w:lang w:eastAsia="pt-BR"/>
        </w:rPr>
        <w:t xml:space="preserve"> Brasília (DF); 2014.</w:t>
      </w: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E3EC5" w:rsidRP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  <w:r w:rsidRPr="002E3EC5"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A609DE" w:rsidRPr="002E3EC5">
        <w:rPr>
          <w:rFonts w:ascii="Times New Roman" w:hAnsi="Times New Roman"/>
          <w:sz w:val="24"/>
          <w:szCs w:val="24"/>
        </w:rPr>
        <w:t>MOUBARAC</w:t>
      </w:r>
      <w:r w:rsidR="00A609DE">
        <w:rPr>
          <w:rFonts w:ascii="Times New Roman" w:hAnsi="Times New Roman"/>
          <w:sz w:val="24"/>
          <w:szCs w:val="24"/>
        </w:rPr>
        <w:t>,</w:t>
      </w:r>
      <w:r w:rsidR="00A609DE" w:rsidRPr="002E3EC5">
        <w:rPr>
          <w:rFonts w:ascii="Times New Roman" w:hAnsi="Times New Roman"/>
          <w:sz w:val="24"/>
          <w:szCs w:val="24"/>
        </w:rPr>
        <w:t xml:space="preserve"> J</w:t>
      </w:r>
      <w:r w:rsidR="00A609DE">
        <w:rPr>
          <w:rFonts w:ascii="Times New Roman" w:hAnsi="Times New Roman"/>
          <w:sz w:val="24"/>
          <w:szCs w:val="24"/>
        </w:rPr>
        <w:t>.C.;</w:t>
      </w:r>
      <w:r w:rsidR="00A609DE" w:rsidRPr="002E3EC5">
        <w:rPr>
          <w:rFonts w:ascii="Times New Roman" w:hAnsi="Times New Roman"/>
          <w:sz w:val="24"/>
          <w:szCs w:val="24"/>
        </w:rPr>
        <w:t xml:space="preserve"> LEVY</w:t>
      </w:r>
      <w:r w:rsidR="00A609DE">
        <w:rPr>
          <w:rFonts w:ascii="Times New Roman" w:hAnsi="Times New Roman"/>
          <w:sz w:val="24"/>
          <w:szCs w:val="24"/>
        </w:rPr>
        <w:t>,</w:t>
      </w:r>
      <w:r w:rsidR="00A609DE" w:rsidRPr="002E3EC5">
        <w:rPr>
          <w:rFonts w:ascii="Times New Roman" w:hAnsi="Times New Roman"/>
          <w:sz w:val="24"/>
          <w:szCs w:val="24"/>
        </w:rPr>
        <w:t xml:space="preserve"> R</w:t>
      </w:r>
      <w:r w:rsidR="00A609DE">
        <w:rPr>
          <w:rFonts w:ascii="Times New Roman" w:hAnsi="Times New Roman"/>
          <w:sz w:val="24"/>
          <w:szCs w:val="24"/>
        </w:rPr>
        <w:t>.B.; CANNON, G.;</w:t>
      </w:r>
      <w:r w:rsidR="00A609DE" w:rsidRPr="002E3EC5">
        <w:rPr>
          <w:rFonts w:ascii="Times New Roman" w:hAnsi="Times New Roman"/>
          <w:sz w:val="24"/>
          <w:szCs w:val="24"/>
        </w:rPr>
        <w:t xml:space="preserve"> CLARO</w:t>
      </w:r>
      <w:r w:rsidR="00A609DE">
        <w:rPr>
          <w:rFonts w:ascii="Times New Roman" w:hAnsi="Times New Roman"/>
          <w:sz w:val="24"/>
          <w:szCs w:val="24"/>
        </w:rPr>
        <w:t>,</w:t>
      </w:r>
      <w:r w:rsidR="00A609DE" w:rsidRPr="002E3EC5">
        <w:rPr>
          <w:rFonts w:ascii="Times New Roman" w:hAnsi="Times New Roman"/>
          <w:sz w:val="24"/>
          <w:szCs w:val="24"/>
        </w:rPr>
        <w:t xml:space="preserve"> R</w:t>
      </w:r>
      <w:r w:rsidR="00A609DE">
        <w:rPr>
          <w:rFonts w:ascii="Times New Roman" w:hAnsi="Times New Roman"/>
          <w:sz w:val="24"/>
          <w:szCs w:val="24"/>
        </w:rPr>
        <w:t>.M.;</w:t>
      </w:r>
      <w:r w:rsidR="00A609DE" w:rsidRPr="002E3EC5">
        <w:rPr>
          <w:rFonts w:ascii="Times New Roman" w:hAnsi="Times New Roman"/>
          <w:sz w:val="24"/>
          <w:szCs w:val="24"/>
        </w:rPr>
        <w:t xml:space="preserve"> MONTEIRO</w:t>
      </w:r>
      <w:r w:rsidR="00A609DE">
        <w:rPr>
          <w:rFonts w:ascii="Times New Roman" w:hAnsi="Times New Roman"/>
          <w:sz w:val="24"/>
          <w:szCs w:val="24"/>
        </w:rPr>
        <w:t>,</w:t>
      </w:r>
      <w:r w:rsidR="00A609DE" w:rsidRPr="002E3EC5">
        <w:rPr>
          <w:rFonts w:ascii="Times New Roman" w:hAnsi="Times New Roman"/>
          <w:sz w:val="24"/>
          <w:szCs w:val="24"/>
        </w:rPr>
        <w:t xml:space="preserve"> C</w:t>
      </w:r>
      <w:r w:rsidR="00A609DE">
        <w:rPr>
          <w:rFonts w:ascii="Times New Roman" w:hAnsi="Times New Roman"/>
          <w:sz w:val="24"/>
          <w:szCs w:val="24"/>
        </w:rPr>
        <w:t>.</w:t>
      </w:r>
      <w:r w:rsidR="00A609DE" w:rsidRPr="002E3EC5">
        <w:rPr>
          <w:rFonts w:ascii="Times New Roman" w:hAnsi="Times New Roman"/>
          <w:sz w:val="24"/>
          <w:szCs w:val="24"/>
        </w:rPr>
        <w:t>A.</w:t>
      </w:r>
      <w:r w:rsidR="00281BE3">
        <w:rPr>
          <w:rFonts w:ascii="Times New Roman" w:hAnsi="Times New Roman"/>
          <w:sz w:val="24"/>
          <w:szCs w:val="24"/>
        </w:rPr>
        <w:t xml:space="preserve"> </w:t>
      </w:r>
      <w:r w:rsidRPr="005F66CD">
        <w:rPr>
          <w:rFonts w:ascii="Times New Roman" w:hAnsi="Times New Roman"/>
          <w:sz w:val="24"/>
          <w:szCs w:val="24"/>
        </w:rPr>
        <w:t xml:space="preserve">Ultra- </w:t>
      </w:r>
      <w:proofErr w:type="spellStart"/>
      <w:r w:rsidRPr="005F66CD">
        <w:rPr>
          <w:rFonts w:ascii="Times New Roman" w:hAnsi="Times New Roman"/>
          <w:sz w:val="24"/>
          <w:szCs w:val="24"/>
        </w:rPr>
        <w:t>processingand</w:t>
      </w:r>
      <w:proofErr w:type="spellEnd"/>
      <w:r w:rsidRPr="005F66CD">
        <w:rPr>
          <w:rFonts w:ascii="Times New Roman" w:hAnsi="Times New Roman"/>
          <w:sz w:val="24"/>
          <w:szCs w:val="24"/>
        </w:rPr>
        <w:t xml:space="preserve"> a new </w:t>
      </w:r>
      <w:proofErr w:type="spellStart"/>
      <w:r w:rsidRPr="005F66CD">
        <w:rPr>
          <w:rFonts w:ascii="Times New Roman" w:hAnsi="Times New Roman"/>
          <w:sz w:val="24"/>
          <w:szCs w:val="24"/>
        </w:rPr>
        <w:t>classification</w:t>
      </w:r>
      <w:proofErr w:type="spellEnd"/>
      <w:r w:rsidRPr="005F66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6CD">
        <w:rPr>
          <w:rFonts w:ascii="Times New Roman" w:hAnsi="Times New Roman"/>
          <w:sz w:val="24"/>
          <w:szCs w:val="24"/>
        </w:rPr>
        <w:t>of</w:t>
      </w:r>
      <w:proofErr w:type="spellEnd"/>
      <w:r w:rsidRPr="005F66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66CD">
        <w:rPr>
          <w:rFonts w:ascii="Times New Roman" w:hAnsi="Times New Roman"/>
          <w:sz w:val="24"/>
          <w:szCs w:val="24"/>
        </w:rPr>
        <w:t>foods</w:t>
      </w:r>
      <w:proofErr w:type="spellEnd"/>
      <w:r w:rsidRPr="005F66CD">
        <w:rPr>
          <w:rFonts w:ascii="Times New Roman" w:hAnsi="Times New Roman"/>
          <w:sz w:val="24"/>
          <w:szCs w:val="24"/>
        </w:rPr>
        <w:t xml:space="preserve">. </w:t>
      </w:r>
      <w:r w:rsidRPr="002E3EC5">
        <w:rPr>
          <w:rFonts w:ascii="Times New Roman" w:hAnsi="Times New Roman"/>
          <w:sz w:val="24"/>
          <w:szCs w:val="24"/>
          <w:lang w:val="en-US"/>
        </w:rPr>
        <w:t xml:space="preserve">In: Neff R, editor. </w:t>
      </w:r>
      <w:proofErr w:type="spellStart"/>
      <w:r w:rsidRPr="002E3EC5">
        <w:rPr>
          <w:rFonts w:ascii="Times New Roman" w:hAnsi="Times New Roman"/>
          <w:sz w:val="24"/>
          <w:szCs w:val="24"/>
          <w:lang w:val="en-US"/>
        </w:rPr>
        <w:t>Introductionto</w:t>
      </w:r>
      <w:proofErr w:type="spellEnd"/>
      <w:r w:rsidRPr="002E3EC5">
        <w:rPr>
          <w:rFonts w:ascii="Times New Roman" w:hAnsi="Times New Roman"/>
          <w:sz w:val="24"/>
          <w:szCs w:val="24"/>
          <w:lang w:val="en-US"/>
        </w:rPr>
        <w:t xml:space="preserve"> U.S. </w:t>
      </w:r>
      <w:r w:rsidRPr="0034746E">
        <w:rPr>
          <w:rFonts w:ascii="Times New Roman" w:hAnsi="Times New Roman"/>
          <w:b/>
          <w:sz w:val="24"/>
          <w:szCs w:val="24"/>
          <w:lang w:val="en-US"/>
        </w:rPr>
        <w:t>Food System: Public Health</w:t>
      </w:r>
      <w:r w:rsidRPr="002E3EC5">
        <w:rPr>
          <w:rFonts w:ascii="Times New Roman" w:hAnsi="Times New Roman"/>
          <w:sz w:val="24"/>
          <w:szCs w:val="24"/>
          <w:lang w:val="en-US"/>
        </w:rPr>
        <w:t xml:space="preserve">, Environment, </w:t>
      </w:r>
      <w:proofErr w:type="spellStart"/>
      <w:r w:rsidRPr="002E3EC5">
        <w:rPr>
          <w:rFonts w:ascii="Times New Roman" w:hAnsi="Times New Roman"/>
          <w:sz w:val="24"/>
          <w:szCs w:val="24"/>
          <w:lang w:val="en-US"/>
        </w:rPr>
        <w:t>Andequity</w:t>
      </w:r>
      <w:proofErr w:type="spellEnd"/>
      <w:r w:rsidRPr="002E3EC5">
        <w:rPr>
          <w:rFonts w:ascii="Times New Roman" w:hAnsi="Times New Roman"/>
          <w:sz w:val="24"/>
          <w:szCs w:val="24"/>
          <w:lang w:val="en-US"/>
        </w:rPr>
        <w:t xml:space="preserve">. San Francisco: </w:t>
      </w:r>
      <w:proofErr w:type="spellStart"/>
      <w:r w:rsidRPr="002E3EC5">
        <w:rPr>
          <w:rFonts w:ascii="Times New Roman" w:hAnsi="Times New Roman"/>
          <w:sz w:val="24"/>
          <w:szCs w:val="24"/>
          <w:lang w:val="en-US"/>
        </w:rPr>
        <w:t>Jossy</w:t>
      </w:r>
      <w:proofErr w:type="spellEnd"/>
      <w:r w:rsidRPr="002E3EC5">
        <w:rPr>
          <w:rFonts w:ascii="Times New Roman" w:hAnsi="Times New Roman"/>
          <w:sz w:val="24"/>
          <w:szCs w:val="24"/>
          <w:lang w:val="en-US"/>
        </w:rPr>
        <w:t xml:space="preserve"> Bass; 2015. </w:t>
      </w: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E3EC5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2E3EC5">
        <w:rPr>
          <w:rFonts w:ascii="Times New Roman" w:hAnsi="Times New Roman"/>
          <w:sz w:val="24"/>
          <w:szCs w:val="24"/>
          <w:lang w:val="en-US" w:eastAsia="pt-BR"/>
        </w:rPr>
        <w:t xml:space="preserve"> - 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>MOUBARAC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,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J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.C.;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PARRA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,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D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.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>C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.;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CANNON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, G.;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MONTEIRO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,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C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.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>A</w:t>
      </w:r>
      <w:r w:rsidRPr="002E3EC5">
        <w:rPr>
          <w:rFonts w:ascii="Times New Roman" w:hAnsi="Times New Roman"/>
          <w:sz w:val="24"/>
          <w:szCs w:val="24"/>
          <w:lang w:val="en-US" w:eastAsia="pt-BR"/>
        </w:rPr>
        <w:t xml:space="preserve">. Food classification systems based on food processing: significance and implications for policies and actions: a systematic literature review and assessment. </w:t>
      </w:r>
      <w:proofErr w:type="spellStart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>Curr</w:t>
      </w:r>
      <w:proofErr w:type="spellEnd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>Obes</w:t>
      </w:r>
      <w:proofErr w:type="spellEnd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 xml:space="preserve"> Rep</w:t>
      </w:r>
      <w:r w:rsidRPr="005F66CD">
        <w:rPr>
          <w:rFonts w:ascii="Times New Roman" w:hAnsi="Times New Roman"/>
          <w:sz w:val="24"/>
          <w:szCs w:val="24"/>
          <w:lang w:val="en-US" w:eastAsia="pt-BR"/>
        </w:rPr>
        <w:t>., 3 (2): 256-72</w:t>
      </w:r>
      <w:r w:rsidR="00281BE3" w:rsidRPr="005F66CD">
        <w:rPr>
          <w:rFonts w:ascii="Times New Roman" w:hAnsi="Times New Roman"/>
          <w:sz w:val="24"/>
          <w:szCs w:val="24"/>
          <w:lang w:val="en-US" w:eastAsia="pt-BR"/>
        </w:rPr>
        <w:t>, 2014</w:t>
      </w:r>
      <w:r w:rsidRPr="005F66CD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5F66CD">
        <w:rPr>
          <w:rFonts w:ascii="Times New Roman" w:hAnsi="Times New Roman"/>
          <w:sz w:val="24"/>
          <w:szCs w:val="24"/>
          <w:lang w:val="en-US" w:eastAsia="pt-BR"/>
        </w:rPr>
        <w:t xml:space="preserve">- 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>MONTEIRO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,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 xml:space="preserve"> C</w:t>
      </w:r>
      <w:r w:rsidR="00281BE3">
        <w:rPr>
          <w:rFonts w:ascii="Times New Roman" w:hAnsi="Times New Roman"/>
          <w:sz w:val="24"/>
          <w:szCs w:val="24"/>
          <w:lang w:val="en-US" w:eastAsia="pt-BR"/>
        </w:rPr>
        <w:t>.</w:t>
      </w:r>
      <w:r w:rsidR="00281BE3" w:rsidRPr="002E3EC5">
        <w:rPr>
          <w:rFonts w:ascii="Times New Roman" w:hAnsi="Times New Roman"/>
          <w:sz w:val="24"/>
          <w:szCs w:val="24"/>
          <w:lang w:val="en-US" w:eastAsia="pt-BR"/>
        </w:rPr>
        <w:t>A</w:t>
      </w:r>
      <w:r w:rsidRPr="002E3EC5">
        <w:rPr>
          <w:rFonts w:ascii="Times New Roman" w:hAnsi="Times New Roman"/>
          <w:sz w:val="24"/>
          <w:szCs w:val="24"/>
          <w:lang w:val="en-US" w:eastAsia="pt-BR"/>
        </w:rPr>
        <w:t xml:space="preserve">. Nutritional and Health. The issue is not food, nor nutrients, so much as processing. </w:t>
      </w:r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 xml:space="preserve">Public </w:t>
      </w:r>
      <w:proofErr w:type="spellStart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>Helath</w:t>
      </w:r>
      <w:proofErr w:type="spellEnd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>Nutr</w:t>
      </w:r>
      <w:proofErr w:type="spellEnd"/>
      <w:r w:rsidRPr="005F66CD">
        <w:rPr>
          <w:rFonts w:ascii="Times New Roman" w:hAnsi="Times New Roman"/>
          <w:sz w:val="24"/>
          <w:szCs w:val="24"/>
          <w:lang w:val="en-US" w:eastAsia="pt-BR"/>
        </w:rPr>
        <w:t>., 12(5): 729-31</w:t>
      </w:r>
      <w:r w:rsidR="00281BE3" w:rsidRPr="005F66CD">
        <w:rPr>
          <w:rFonts w:ascii="Times New Roman" w:hAnsi="Times New Roman"/>
          <w:sz w:val="24"/>
          <w:szCs w:val="24"/>
          <w:lang w:val="en-US" w:eastAsia="pt-BR"/>
        </w:rPr>
        <w:t>, 2009</w:t>
      </w:r>
      <w:r w:rsidRPr="005F66CD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2E3EC5" w:rsidRPr="005F66CD" w:rsidRDefault="002E3EC5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5F66CD">
        <w:rPr>
          <w:rFonts w:ascii="Times New Roman" w:hAnsi="Times New Roman"/>
          <w:sz w:val="24"/>
          <w:szCs w:val="24"/>
          <w:lang w:val="en-US" w:eastAsia="pt-BR"/>
        </w:rPr>
        <w:t xml:space="preserve">- </w:t>
      </w:r>
      <w:r w:rsidR="00281BE3" w:rsidRPr="005F66CD">
        <w:rPr>
          <w:rFonts w:ascii="Times New Roman" w:hAnsi="Times New Roman"/>
          <w:sz w:val="24"/>
          <w:szCs w:val="24"/>
          <w:lang w:val="en-US" w:eastAsia="pt-BR"/>
        </w:rPr>
        <w:t>MOZAFFARIAN, D.; HAO, T.; RIMM, E.B.; WILLETT, W.C.; HU, F.B</w:t>
      </w:r>
      <w:r w:rsidRPr="005F66CD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r w:rsidRPr="002E3EC5">
        <w:rPr>
          <w:rFonts w:ascii="Times New Roman" w:hAnsi="Times New Roman"/>
          <w:sz w:val="24"/>
          <w:szCs w:val="24"/>
          <w:lang w:val="en-US" w:eastAsia="pt-BR"/>
        </w:rPr>
        <w:t xml:space="preserve">Changes in diet and lifestyle and long-term weight gain in women and men. </w:t>
      </w:r>
      <w:r w:rsidRPr="005F66CD">
        <w:rPr>
          <w:rFonts w:ascii="Times New Roman" w:hAnsi="Times New Roman"/>
          <w:b/>
          <w:sz w:val="24"/>
          <w:szCs w:val="24"/>
          <w:lang w:val="en-US" w:eastAsia="pt-BR"/>
        </w:rPr>
        <w:t>N. Engl. J. Med</w:t>
      </w:r>
      <w:r w:rsidR="00281BE3" w:rsidRPr="005F66CD">
        <w:rPr>
          <w:rFonts w:ascii="Times New Roman" w:hAnsi="Times New Roman"/>
          <w:sz w:val="24"/>
          <w:szCs w:val="24"/>
          <w:lang w:val="en-US" w:eastAsia="pt-BR"/>
        </w:rPr>
        <w:t xml:space="preserve">., </w:t>
      </w:r>
      <w:r w:rsidRPr="005F66CD">
        <w:rPr>
          <w:rFonts w:ascii="Times New Roman" w:hAnsi="Times New Roman"/>
          <w:sz w:val="24"/>
          <w:szCs w:val="24"/>
          <w:lang w:val="en-US" w:eastAsia="pt-BR"/>
        </w:rPr>
        <w:t>364 (25): 2392-2404</w:t>
      </w:r>
      <w:r w:rsidR="00281BE3" w:rsidRPr="005F66CD">
        <w:rPr>
          <w:rFonts w:ascii="Times New Roman" w:hAnsi="Times New Roman"/>
          <w:sz w:val="24"/>
          <w:szCs w:val="24"/>
          <w:lang w:val="en-US" w:eastAsia="pt-BR"/>
        </w:rPr>
        <w:t>, 2011</w:t>
      </w:r>
      <w:r w:rsidRPr="005F66CD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F975C6" w:rsidRPr="005F66CD" w:rsidRDefault="00F975C6" w:rsidP="008356BF">
      <w:pPr>
        <w:pStyle w:val="SemEspaamento"/>
        <w:rPr>
          <w:lang w:val="en-US"/>
        </w:rPr>
      </w:pPr>
    </w:p>
    <w:p w:rsidR="00281BE3" w:rsidRPr="005F66CD" w:rsidRDefault="00281BE3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  <w:r w:rsidRPr="005F66CD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5F66CD">
        <w:rPr>
          <w:rFonts w:ascii="Times New Roman" w:hAnsi="Times New Roman"/>
          <w:sz w:val="24"/>
          <w:szCs w:val="24"/>
          <w:lang w:val="en-US"/>
        </w:rPr>
        <w:t>Organização</w:t>
      </w:r>
      <w:proofErr w:type="spellEnd"/>
      <w:r w:rsidRPr="005F66CD">
        <w:rPr>
          <w:rFonts w:ascii="Times New Roman" w:hAnsi="Times New Roman"/>
          <w:sz w:val="24"/>
          <w:szCs w:val="24"/>
          <w:lang w:val="en-US"/>
        </w:rPr>
        <w:t xml:space="preserve"> Mundial de </w:t>
      </w:r>
      <w:proofErr w:type="spellStart"/>
      <w:r w:rsidRPr="005F66CD">
        <w:rPr>
          <w:rFonts w:ascii="Times New Roman" w:hAnsi="Times New Roman"/>
          <w:sz w:val="24"/>
          <w:szCs w:val="24"/>
          <w:lang w:val="en-US"/>
        </w:rPr>
        <w:t>Saúde</w:t>
      </w:r>
      <w:proofErr w:type="spellEnd"/>
      <w:r w:rsidRPr="005F66CD">
        <w:rPr>
          <w:rFonts w:ascii="Times New Roman" w:hAnsi="Times New Roman"/>
          <w:sz w:val="24"/>
          <w:szCs w:val="24"/>
          <w:lang w:val="en-US"/>
        </w:rPr>
        <w:t xml:space="preserve"> – OMS. </w:t>
      </w:r>
      <w:r w:rsidRPr="005F66CD">
        <w:rPr>
          <w:rFonts w:ascii="Times New Roman" w:hAnsi="Times New Roman"/>
          <w:b/>
          <w:sz w:val="24"/>
          <w:szCs w:val="24"/>
          <w:lang w:val="en-US"/>
        </w:rPr>
        <w:t>Obesity: preventing and managing the global epidemic.</w:t>
      </w:r>
      <w:r w:rsidRPr="005F66C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F66CD">
        <w:rPr>
          <w:rFonts w:ascii="Times New Roman" w:hAnsi="Times New Roman"/>
          <w:sz w:val="24"/>
          <w:szCs w:val="24"/>
          <w:lang w:val="en-US"/>
        </w:rPr>
        <w:t>Report of a WHO consultation, Geneva, 3-5 Jun 1997.</w:t>
      </w:r>
      <w:proofErr w:type="gramEnd"/>
      <w:r w:rsidRPr="005F66CD">
        <w:rPr>
          <w:rFonts w:ascii="Times New Roman" w:hAnsi="Times New Roman"/>
          <w:sz w:val="24"/>
          <w:szCs w:val="24"/>
          <w:lang w:val="en-US"/>
        </w:rPr>
        <w:t xml:space="preserve"> Geneva: Word Health Organization, 1998. </w:t>
      </w:r>
      <w:proofErr w:type="gramStart"/>
      <w:r w:rsidRPr="005F66CD">
        <w:rPr>
          <w:rFonts w:ascii="Times New Roman" w:hAnsi="Times New Roman"/>
          <w:sz w:val="24"/>
          <w:szCs w:val="24"/>
          <w:lang w:val="en-US"/>
        </w:rPr>
        <w:t>(WHO/NUT/98.1.).</w:t>
      </w:r>
      <w:proofErr w:type="gramEnd"/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572F3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  <w:r w:rsidRPr="005F66CD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281BE3" w:rsidRPr="005F66CD">
        <w:rPr>
          <w:rFonts w:ascii="Times New Roman" w:hAnsi="Times New Roman"/>
          <w:sz w:val="24"/>
          <w:szCs w:val="24"/>
          <w:lang w:val="en-US"/>
        </w:rPr>
        <w:t>ORTEGA, F.B.; LAVIE, C.J.; BLAIR, S.N</w:t>
      </w:r>
      <w:r w:rsidR="005C37DE" w:rsidRPr="005F66CD">
        <w:rPr>
          <w:rFonts w:ascii="Times New Roman" w:hAnsi="Times New Roman"/>
          <w:sz w:val="24"/>
          <w:szCs w:val="24"/>
          <w:lang w:val="en-US"/>
        </w:rPr>
        <w:t xml:space="preserve">.  </w:t>
      </w:r>
      <w:proofErr w:type="gramStart"/>
      <w:r w:rsidR="005C37DE" w:rsidRPr="005F66CD">
        <w:rPr>
          <w:rFonts w:ascii="Times New Roman" w:hAnsi="Times New Roman"/>
          <w:sz w:val="24"/>
          <w:szCs w:val="24"/>
          <w:lang w:val="en-US"/>
        </w:rPr>
        <w:t>Obesity and cardiovascular disease.</w:t>
      </w:r>
      <w:proofErr w:type="gramEnd"/>
      <w:r w:rsidR="005C37DE" w:rsidRPr="005F66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C37DE" w:rsidRPr="005F66CD">
        <w:rPr>
          <w:rFonts w:ascii="Times New Roman" w:hAnsi="Times New Roman"/>
          <w:b/>
          <w:sz w:val="24"/>
          <w:szCs w:val="24"/>
          <w:lang w:val="en-US"/>
        </w:rPr>
        <w:t>American Heart Associations</w:t>
      </w:r>
      <w:r w:rsidR="005C37DE" w:rsidRPr="005F66CD">
        <w:rPr>
          <w:rFonts w:ascii="Times New Roman" w:hAnsi="Times New Roman"/>
          <w:sz w:val="24"/>
          <w:szCs w:val="24"/>
          <w:lang w:val="en-US"/>
        </w:rPr>
        <w:t>, 188: 1752-1770</w:t>
      </w:r>
      <w:r w:rsidR="00281BE3" w:rsidRPr="005F66CD">
        <w:rPr>
          <w:rFonts w:ascii="Times New Roman" w:hAnsi="Times New Roman"/>
          <w:sz w:val="24"/>
          <w:szCs w:val="24"/>
          <w:lang w:val="en-US"/>
        </w:rPr>
        <w:t>, 2016</w:t>
      </w:r>
      <w:r w:rsidR="0034746E" w:rsidRPr="005F66CD">
        <w:rPr>
          <w:rFonts w:ascii="Times New Roman" w:hAnsi="Times New Roman"/>
          <w:sz w:val="24"/>
          <w:szCs w:val="24"/>
          <w:lang w:val="en-US"/>
        </w:rPr>
        <w:t>.</w:t>
      </w: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F975C6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81BE3" w:rsidRPr="00F975C6">
        <w:rPr>
          <w:rFonts w:ascii="Times New Roman" w:hAnsi="Times New Roman"/>
          <w:sz w:val="24"/>
          <w:szCs w:val="24"/>
        </w:rPr>
        <w:t>PACHECO</w:t>
      </w:r>
      <w:r w:rsidR="00281BE3">
        <w:rPr>
          <w:rFonts w:ascii="Times New Roman" w:hAnsi="Times New Roman"/>
          <w:sz w:val="24"/>
          <w:szCs w:val="24"/>
        </w:rPr>
        <w:t>,</w:t>
      </w:r>
      <w:r w:rsidRPr="00F975C6">
        <w:rPr>
          <w:rFonts w:ascii="Times New Roman" w:hAnsi="Times New Roman"/>
          <w:sz w:val="24"/>
          <w:szCs w:val="24"/>
        </w:rPr>
        <w:t xml:space="preserve"> M. </w:t>
      </w:r>
      <w:r w:rsidRPr="0034746E">
        <w:rPr>
          <w:rFonts w:ascii="Times New Roman" w:hAnsi="Times New Roman"/>
          <w:b/>
          <w:sz w:val="24"/>
          <w:szCs w:val="24"/>
        </w:rPr>
        <w:t>Tabela de equivalentes, medidas caseiras e composição química dos alimentos</w:t>
      </w:r>
      <w:r w:rsidRPr="00F975C6">
        <w:rPr>
          <w:rFonts w:ascii="Times New Roman" w:hAnsi="Times New Roman"/>
          <w:b/>
          <w:sz w:val="24"/>
          <w:szCs w:val="24"/>
        </w:rPr>
        <w:t>.</w:t>
      </w:r>
      <w:r w:rsidRPr="00F975C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975C6">
        <w:rPr>
          <w:rFonts w:ascii="Times New Roman" w:hAnsi="Times New Roman"/>
          <w:sz w:val="24"/>
          <w:szCs w:val="24"/>
        </w:rPr>
        <w:t>2.</w:t>
      </w:r>
      <w:proofErr w:type="gramEnd"/>
      <w:r w:rsidRPr="00F975C6">
        <w:rPr>
          <w:rFonts w:ascii="Times New Roman" w:hAnsi="Times New Roman"/>
          <w:sz w:val="24"/>
          <w:szCs w:val="24"/>
        </w:rPr>
        <w:t xml:space="preserve">ed. Rio de Janeiro: </w:t>
      </w:r>
      <w:proofErr w:type="spellStart"/>
      <w:r w:rsidRPr="00F975C6">
        <w:rPr>
          <w:rFonts w:ascii="Times New Roman" w:hAnsi="Times New Roman"/>
          <w:sz w:val="24"/>
          <w:szCs w:val="24"/>
        </w:rPr>
        <w:t>Rubio</w:t>
      </w:r>
      <w:proofErr w:type="spellEnd"/>
      <w:r w:rsidRPr="00F975C6">
        <w:rPr>
          <w:rFonts w:ascii="Times New Roman" w:hAnsi="Times New Roman"/>
          <w:sz w:val="24"/>
          <w:szCs w:val="24"/>
        </w:rPr>
        <w:t>, 2011.</w:t>
      </w: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F975C6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5F66CD">
        <w:rPr>
          <w:rFonts w:ascii="Times New Roman" w:hAnsi="Times New Roman"/>
          <w:sz w:val="24"/>
          <w:szCs w:val="24"/>
        </w:rPr>
        <w:t xml:space="preserve">- 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>PADOVANI</w:t>
      </w:r>
      <w:r w:rsidR="00281BE3">
        <w:rPr>
          <w:rFonts w:ascii="Times New Roman" w:hAnsi="Times New Roman"/>
          <w:sz w:val="24"/>
          <w:szCs w:val="24"/>
          <w:lang w:eastAsia="pt-BR"/>
        </w:rPr>
        <w:t>,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 xml:space="preserve"> R</w:t>
      </w:r>
      <w:r w:rsidR="00281BE3">
        <w:rPr>
          <w:rFonts w:ascii="Times New Roman" w:hAnsi="Times New Roman"/>
          <w:sz w:val="24"/>
          <w:szCs w:val="24"/>
          <w:lang w:eastAsia="pt-BR"/>
        </w:rPr>
        <w:t>.M.;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 xml:space="preserve"> AMAYA-FARFÁN</w:t>
      </w:r>
      <w:r w:rsidR="00281BE3">
        <w:rPr>
          <w:rFonts w:ascii="Times New Roman" w:hAnsi="Times New Roman"/>
          <w:sz w:val="24"/>
          <w:szCs w:val="24"/>
          <w:lang w:eastAsia="pt-BR"/>
        </w:rPr>
        <w:t>, J</w:t>
      </w:r>
      <w:proofErr w:type="gramStart"/>
      <w:r w:rsidR="00281BE3">
        <w:rPr>
          <w:rFonts w:ascii="Times New Roman" w:hAnsi="Times New Roman"/>
          <w:sz w:val="24"/>
          <w:szCs w:val="24"/>
          <w:lang w:eastAsia="pt-BR"/>
        </w:rPr>
        <w:t>.;</w:t>
      </w:r>
      <w:proofErr w:type="gramEnd"/>
      <w:r w:rsidR="00281BE3" w:rsidRPr="00F975C6">
        <w:rPr>
          <w:rFonts w:ascii="Times New Roman" w:hAnsi="Times New Roman"/>
          <w:sz w:val="24"/>
          <w:szCs w:val="24"/>
          <w:lang w:eastAsia="pt-BR"/>
        </w:rPr>
        <w:t xml:space="preserve"> COLUGNATI</w:t>
      </w:r>
      <w:r w:rsidR="00281BE3">
        <w:rPr>
          <w:rFonts w:ascii="Times New Roman" w:hAnsi="Times New Roman"/>
          <w:sz w:val="24"/>
          <w:szCs w:val="24"/>
          <w:lang w:eastAsia="pt-BR"/>
        </w:rPr>
        <w:t>,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 xml:space="preserve"> F</w:t>
      </w:r>
      <w:r w:rsidR="00281BE3">
        <w:rPr>
          <w:rFonts w:ascii="Times New Roman" w:hAnsi="Times New Roman"/>
          <w:sz w:val="24"/>
          <w:szCs w:val="24"/>
          <w:lang w:eastAsia="pt-BR"/>
        </w:rPr>
        <w:t>.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>A</w:t>
      </w:r>
      <w:r w:rsidR="00281BE3">
        <w:rPr>
          <w:rFonts w:ascii="Times New Roman" w:hAnsi="Times New Roman"/>
          <w:sz w:val="24"/>
          <w:szCs w:val="24"/>
          <w:lang w:eastAsia="pt-BR"/>
        </w:rPr>
        <w:t>.B.;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 xml:space="preserve"> DOMENE</w:t>
      </w:r>
      <w:r w:rsidR="00281BE3">
        <w:rPr>
          <w:rFonts w:ascii="Times New Roman" w:hAnsi="Times New Roman"/>
          <w:sz w:val="24"/>
          <w:szCs w:val="24"/>
          <w:lang w:eastAsia="pt-BR"/>
        </w:rPr>
        <w:t>,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 xml:space="preserve"> S</w:t>
      </w:r>
      <w:r w:rsidR="00281BE3">
        <w:rPr>
          <w:rFonts w:ascii="Times New Roman" w:hAnsi="Times New Roman"/>
          <w:sz w:val="24"/>
          <w:szCs w:val="24"/>
          <w:lang w:eastAsia="pt-BR"/>
        </w:rPr>
        <w:t>.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>M</w:t>
      </w:r>
      <w:r w:rsidR="00281BE3">
        <w:rPr>
          <w:rFonts w:ascii="Times New Roman" w:hAnsi="Times New Roman"/>
          <w:sz w:val="24"/>
          <w:szCs w:val="24"/>
          <w:lang w:eastAsia="pt-BR"/>
        </w:rPr>
        <w:t>.</w:t>
      </w:r>
      <w:r w:rsidR="00281BE3" w:rsidRPr="00F975C6">
        <w:rPr>
          <w:rFonts w:ascii="Times New Roman" w:hAnsi="Times New Roman"/>
          <w:sz w:val="24"/>
          <w:szCs w:val="24"/>
          <w:lang w:eastAsia="pt-BR"/>
        </w:rPr>
        <w:t>A</w:t>
      </w:r>
      <w:r w:rsidRPr="00F975C6">
        <w:rPr>
          <w:rFonts w:ascii="Times New Roman" w:hAnsi="Times New Roman"/>
          <w:sz w:val="24"/>
          <w:szCs w:val="24"/>
          <w:lang w:eastAsia="pt-BR"/>
        </w:rPr>
        <w:t xml:space="preserve">. </w:t>
      </w:r>
      <w:proofErr w:type="spellStart"/>
      <w:r w:rsidRPr="00F975C6">
        <w:rPr>
          <w:rFonts w:ascii="Times New Roman" w:hAnsi="Times New Roman"/>
          <w:sz w:val="24"/>
          <w:szCs w:val="24"/>
          <w:lang w:eastAsia="pt-BR"/>
        </w:rPr>
        <w:t>Dietary</w:t>
      </w:r>
      <w:proofErr w:type="spellEnd"/>
      <w:r w:rsidRPr="00F975C6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F975C6">
        <w:rPr>
          <w:rFonts w:ascii="Times New Roman" w:hAnsi="Times New Roman"/>
          <w:sz w:val="24"/>
          <w:szCs w:val="24"/>
          <w:lang w:eastAsia="pt-BR"/>
        </w:rPr>
        <w:t>reference</w:t>
      </w:r>
      <w:proofErr w:type="spellEnd"/>
      <w:r w:rsidRPr="00F975C6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F975C6">
        <w:rPr>
          <w:rFonts w:ascii="Times New Roman" w:hAnsi="Times New Roman"/>
          <w:sz w:val="24"/>
          <w:szCs w:val="24"/>
          <w:lang w:eastAsia="pt-BR"/>
        </w:rPr>
        <w:t>intakes</w:t>
      </w:r>
      <w:proofErr w:type="spellEnd"/>
      <w:r w:rsidRPr="00F975C6">
        <w:rPr>
          <w:rFonts w:ascii="Times New Roman" w:hAnsi="Times New Roman"/>
          <w:sz w:val="24"/>
          <w:szCs w:val="24"/>
          <w:lang w:eastAsia="pt-BR"/>
        </w:rPr>
        <w:t xml:space="preserve">: aplicabilidade das tabelas em estudos nutricionais. </w:t>
      </w:r>
      <w:r w:rsidRPr="0034746E">
        <w:rPr>
          <w:rFonts w:ascii="Times New Roman" w:hAnsi="Times New Roman"/>
          <w:b/>
          <w:sz w:val="24"/>
          <w:szCs w:val="24"/>
          <w:lang w:eastAsia="pt-BR"/>
        </w:rPr>
        <w:t>Rev. Nutr</w:t>
      </w:r>
      <w:r w:rsidRPr="00F975C6">
        <w:rPr>
          <w:rFonts w:ascii="Times New Roman" w:hAnsi="Times New Roman"/>
          <w:sz w:val="24"/>
          <w:szCs w:val="24"/>
          <w:lang w:eastAsia="pt-BR"/>
        </w:rPr>
        <w:t>., Campinas, 19 (6): 741-760</w:t>
      </w:r>
      <w:r w:rsidR="00281BE3">
        <w:rPr>
          <w:rFonts w:ascii="Times New Roman" w:hAnsi="Times New Roman"/>
          <w:sz w:val="24"/>
          <w:szCs w:val="24"/>
          <w:lang w:eastAsia="pt-BR"/>
        </w:rPr>
        <w:t>, 2006</w:t>
      </w:r>
      <w:r w:rsidRPr="00F975C6">
        <w:rPr>
          <w:rFonts w:ascii="Times New Roman" w:hAnsi="Times New Roman"/>
          <w:sz w:val="24"/>
          <w:szCs w:val="24"/>
          <w:lang w:eastAsia="pt-BR"/>
        </w:rPr>
        <w:t xml:space="preserve">. </w:t>
      </w: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F975C6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1BE3" w:rsidRPr="00F975C6">
        <w:rPr>
          <w:rFonts w:ascii="Times New Roman" w:hAnsi="Times New Roman"/>
          <w:sz w:val="24"/>
          <w:szCs w:val="24"/>
        </w:rPr>
        <w:t>PILIPPI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</w:t>
      </w:r>
      <w:r w:rsidRPr="00F975C6">
        <w:rPr>
          <w:rFonts w:ascii="Times New Roman" w:hAnsi="Times New Roman"/>
          <w:sz w:val="24"/>
          <w:szCs w:val="24"/>
        </w:rPr>
        <w:t>S</w:t>
      </w:r>
      <w:r w:rsidR="00281BE3">
        <w:rPr>
          <w:rFonts w:ascii="Times New Roman" w:hAnsi="Times New Roman"/>
          <w:sz w:val="24"/>
          <w:szCs w:val="24"/>
        </w:rPr>
        <w:t>.</w:t>
      </w:r>
      <w:r w:rsidRPr="00F975C6">
        <w:rPr>
          <w:rFonts w:ascii="Times New Roman" w:hAnsi="Times New Roman"/>
          <w:sz w:val="24"/>
          <w:szCs w:val="24"/>
        </w:rPr>
        <w:t xml:space="preserve">T. </w:t>
      </w:r>
      <w:r w:rsidRPr="0034746E">
        <w:rPr>
          <w:rFonts w:ascii="Times New Roman" w:hAnsi="Times New Roman"/>
          <w:b/>
          <w:sz w:val="24"/>
          <w:szCs w:val="24"/>
        </w:rPr>
        <w:t>Tabela de Composição de Alimentos: Suporte para a Decisão Nutricional</w:t>
      </w:r>
      <w:r w:rsidRPr="00F975C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975C6">
        <w:rPr>
          <w:rFonts w:ascii="Times New Roman" w:hAnsi="Times New Roman"/>
          <w:sz w:val="24"/>
          <w:szCs w:val="24"/>
        </w:rPr>
        <w:t>4</w:t>
      </w:r>
      <w:proofErr w:type="gramEnd"/>
      <w:r w:rsidRPr="00F975C6">
        <w:rPr>
          <w:rFonts w:ascii="Times New Roman" w:hAnsi="Times New Roman"/>
          <w:sz w:val="24"/>
          <w:szCs w:val="24"/>
        </w:rPr>
        <w:t xml:space="preserve"> ed. rev. atual.- Barueri, SP: Manole, 2013.</w:t>
      </w: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572F3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281BE3" w:rsidRPr="00F975C6">
        <w:rPr>
          <w:rFonts w:ascii="Times New Roman" w:hAnsi="Times New Roman"/>
          <w:sz w:val="24"/>
          <w:szCs w:val="24"/>
        </w:rPr>
        <w:t>PINHEIRO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A</w:t>
      </w:r>
      <w:r w:rsidR="00281BE3">
        <w:rPr>
          <w:rFonts w:ascii="Times New Roman" w:hAnsi="Times New Roman"/>
          <w:sz w:val="24"/>
          <w:szCs w:val="24"/>
        </w:rPr>
        <w:t>.</w:t>
      </w:r>
      <w:r w:rsidR="00281BE3" w:rsidRPr="00F975C6">
        <w:rPr>
          <w:rFonts w:ascii="Times New Roman" w:hAnsi="Times New Roman"/>
          <w:sz w:val="24"/>
          <w:szCs w:val="24"/>
        </w:rPr>
        <w:t>B</w:t>
      </w:r>
      <w:r w:rsidR="00281BE3">
        <w:rPr>
          <w:rFonts w:ascii="Times New Roman" w:hAnsi="Times New Roman"/>
          <w:sz w:val="24"/>
          <w:szCs w:val="24"/>
        </w:rPr>
        <w:t>.</w:t>
      </w:r>
      <w:r w:rsidR="00281BE3" w:rsidRPr="00F975C6">
        <w:rPr>
          <w:rFonts w:ascii="Times New Roman" w:hAnsi="Times New Roman"/>
          <w:sz w:val="24"/>
          <w:szCs w:val="24"/>
        </w:rPr>
        <w:t>V</w:t>
      </w:r>
      <w:r w:rsidR="00281BE3">
        <w:rPr>
          <w:rFonts w:ascii="Times New Roman" w:hAnsi="Times New Roman"/>
          <w:sz w:val="24"/>
          <w:szCs w:val="24"/>
        </w:rPr>
        <w:t>.;</w:t>
      </w:r>
      <w:r w:rsidR="00281BE3" w:rsidRPr="00F975C6">
        <w:rPr>
          <w:rFonts w:ascii="Times New Roman" w:hAnsi="Times New Roman"/>
          <w:sz w:val="24"/>
          <w:szCs w:val="24"/>
        </w:rPr>
        <w:t xml:space="preserve"> LACERDA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E</w:t>
      </w:r>
      <w:r w:rsidR="00281BE3">
        <w:rPr>
          <w:rFonts w:ascii="Times New Roman" w:hAnsi="Times New Roman"/>
          <w:sz w:val="24"/>
          <w:szCs w:val="24"/>
        </w:rPr>
        <w:t>.</w:t>
      </w:r>
      <w:r w:rsidR="00281BE3" w:rsidRPr="00F975C6">
        <w:rPr>
          <w:rFonts w:ascii="Times New Roman" w:hAnsi="Times New Roman"/>
          <w:sz w:val="24"/>
          <w:szCs w:val="24"/>
        </w:rPr>
        <w:t>M</w:t>
      </w:r>
      <w:r w:rsidR="00281BE3">
        <w:rPr>
          <w:rFonts w:ascii="Times New Roman" w:hAnsi="Times New Roman"/>
          <w:sz w:val="24"/>
          <w:szCs w:val="24"/>
        </w:rPr>
        <w:t>.A.;</w:t>
      </w:r>
      <w:r w:rsidR="00281BE3" w:rsidRPr="00F975C6">
        <w:rPr>
          <w:rFonts w:ascii="Times New Roman" w:hAnsi="Times New Roman"/>
          <w:sz w:val="24"/>
          <w:szCs w:val="24"/>
        </w:rPr>
        <w:t xml:space="preserve"> BENZECRY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E</w:t>
      </w:r>
      <w:r w:rsidR="00281BE3">
        <w:rPr>
          <w:rFonts w:ascii="Times New Roman" w:hAnsi="Times New Roman"/>
          <w:sz w:val="24"/>
          <w:szCs w:val="24"/>
        </w:rPr>
        <w:t>.H.;</w:t>
      </w:r>
      <w:r w:rsidR="00281BE3" w:rsidRPr="00F975C6">
        <w:rPr>
          <w:rFonts w:ascii="Times New Roman" w:hAnsi="Times New Roman"/>
          <w:sz w:val="24"/>
          <w:szCs w:val="24"/>
        </w:rPr>
        <w:t xml:space="preserve"> GOMES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M</w:t>
      </w:r>
      <w:r w:rsidR="00281BE3">
        <w:rPr>
          <w:rFonts w:ascii="Times New Roman" w:hAnsi="Times New Roman"/>
          <w:sz w:val="24"/>
          <w:szCs w:val="24"/>
        </w:rPr>
        <w:t>.</w:t>
      </w:r>
      <w:r w:rsidR="00281BE3" w:rsidRPr="00F975C6">
        <w:rPr>
          <w:rFonts w:ascii="Times New Roman" w:hAnsi="Times New Roman"/>
          <w:sz w:val="24"/>
          <w:szCs w:val="24"/>
        </w:rPr>
        <w:t>C</w:t>
      </w:r>
      <w:r w:rsidR="00281BE3">
        <w:rPr>
          <w:rFonts w:ascii="Times New Roman" w:hAnsi="Times New Roman"/>
          <w:sz w:val="24"/>
          <w:szCs w:val="24"/>
        </w:rPr>
        <w:t>.S.;</w:t>
      </w:r>
      <w:r w:rsidR="00281BE3" w:rsidRPr="00F975C6">
        <w:rPr>
          <w:rFonts w:ascii="Times New Roman" w:hAnsi="Times New Roman"/>
          <w:sz w:val="24"/>
          <w:szCs w:val="24"/>
        </w:rPr>
        <w:t xml:space="preserve"> COSTA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V</w:t>
      </w:r>
      <w:r w:rsidR="00281BE3">
        <w:rPr>
          <w:rFonts w:ascii="Times New Roman" w:hAnsi="Times New Roman"/>
          <w:sz w:val="24"/>
          <w:szCs w:val="24"/>
        </w:rPr>
        <w:t>.</w:t>
      </w:r>
      <w:r w:rsidR="00281BE3" w:rsidRPr="00F975C6">
        <w:rPr>
          <w:rFonts w:ascii="Times New Roman" w:hAnsi="Times New Roman"/>
          <w:sz w:val="24"/>
          <w:szCs w:val="24"/>
        </w:rPr>
        <w:t xml:space="preserve">M. </w:t>
      </w:r>
      <w:r w:rsidR="002E3EC5" w:rsidRPr="0034746E">
        <w:rPr>
          <w:rFonts w:ascii="Times New Roman" w:hAnsi="Times New Roman"/>
          <w:b/>
          <w:sz w:val="24"/>
          <w:szCs w:val="24"/>
        </w:rPr>
        <w:t>Tabela para avaliação de consumo alimentar em medidas caseiras</w:t>
      </w:r>
      <w:r w:rsidR="002E3EC5" w:rsidRPr="00F975C6">
        <w:rPr>
          <w:rFonts w:ascii="Times New Roman" w:hAnsi="Times New Roman"/>
          <w:sz w:val="24"/>
          <w:szCs w:val="24"/>
        </w:rPr>
        <w:t>. Atheneu, 4º edição. 2013.</w:t>
      </w: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F975C6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81BE3" w:rsidRPr="00F975C6">
        <w:rPr>
          <w:rFonts w:ascii="Times New Roman" w:hAnsi="Times New Roman"/>
          <w:sz w:val="24"/>
          <w:szCs w:val="24"/>
        </w:rPr>
        <w:t>RIBEIRO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A</w:t>
      </w:r>
      <w:r w:rsidR="00281BE3">
        <w:rPr>
          <w:rFonts w:ascii="Times New Roman" w:hAnsi="Times New Roman"/>
          <w:sz w:val="24"/>
          <w:szCs w:val="24"/>
        </w:rPr>
        <w:t>.B.;</w:t>
      </w:r>
      <w:r w:rsidR="00281BE3" w:rsidRPr="00F975C6">
        <w:rPr>
          <w:rFonts w:ascii="Times New Roman" w:hAnsi="Times New Roman"/>
          <w:sz w:val="24"/>
          <w:szCs w:val="24"/>
        </w:rPr>
        <w:t xml:space="preserve"> CARDOSO</w:t>
      </w:r>
      <w:r w:rsidR="00281BE3">
        <w:rPr>
          <w:rFonts w:ascii="Times New Roman" w:hAnsi="Times New Roman"/>
          <w:sz w:val="24"/>
          <w:szCs w:val="24"/>
        </w:rPr>
        <w:t>,</w:t>
      </w:r>
      <w:r w:rsidR="00281BE3" w:rsidRPr="00F975C6">
        <w:rPr>
          <w:rFonts w:ascii="Times New Roman" w:hAnsi="Times New Roman"/>
          <w:sz w:val="24"/>
          <w:szCs w:val="24"/>
        </w:rPr>
        <w:t xml:space="preserve"> M</w:t>
      </w:r>
      <w:r w:rsidR="00281BE3">
        <w:rPr>
          <w:rFonts w:ascii="Times New Roman" w:hAnsi="Times New Roman"/>
          <w:sz w:val="24"/>
          <w:szCs w:val="24"/>
        </w:rPr>
        <w:t>.</w:t>
      </w:r>
      <w:r w:rsidR="00281BE3" w:rsidRPr="00F975C6">
        <w:rPr>
          <w:rFonts w:ascii="Times New Roman" w:hAnsi="Times New Roman"/>
          <w:sz w:val="24"/>
          <w:szCs w:val="24"/>
        </w:rPr>
        <w:t>A</w:t>
      </w:r>
      <w:r w:rsidRPr="00F975C6">
        <w:rPr>
          <w:rFonts w:ascii="Times New Roman" w:hAnsi="Times New Roman"/>
          <w:sz w:val="24"/>
          <w:szCs w:val="24"/>
        </w:rPr>
        <w:t xml:space="preserve">. Construção de um questionário de frequência alimentar como subsídio para programas de prevenção de doenças crônicas não transmissíveis. </w:t>
      </w:r>
      <w:r w:rsidRPr="0034746E">
        <w:rPr>
          <w:rFonts w:ascii="Times New Roman" w:hAnsi="Times New Roman"/>
          <w:b/>
          <w:sz w:val="24"/>
          <w:szCs w:val="24"/>
        </w:rPr>
        <w:t>Rev. Nutr</w:t>
      </w:r>
      <w:r w:rsidRPr="00F975C6">
        <w:rPr>
          <w:rFonts w:ascii="Times New Roman" w:hAnsi="Times New Roman"/>
          <w:sz w:val="24"/>
          <w:szCs w:val="24"/>
        </w:rPr>
        <w:t xml:space="preserve">., Campinas, </w:t>
      </w:r>
      <w:proofErr w:type="gramStart"/>
      <w:r w:rsidRPr="00F975C6">
        <w:rPr>
          <w:rFonts w:ascii="Times New Roman" w:hAnsi="Times New Roman"/>
          <w:sz w:val="24"/>
          <w:szCs w:val="24"/>
        </w:rPr>
        <w:t>15(2):</w:t>
      </w:r>
      <w:proofErr w:type="gramEnd"/>
      <w:r w:rsidRPr="00F975C6">
        <w:rPr>
          <w:rFonts w:ascii="Times New Roman" w:hAnsi="Times New Roman"/>
          <w:sz w:val="24"/>
          <w:szCs w:val="24"/>
        </w:rPr>
        <w:t>239-245</w:t>
      </w:r>
      <w:r w:rsidR="00281BE3">
        <w:rPr>
          <w:rFonts w:ascii="Times New Roman" w:hAnsi="Times New Roman"/>
          <w:sz w:val="24"/>
          <w:szCs w:val="24"/>
        </w:rPr>
        <w:t>, 2002</w:t>
      </w:r>
      <w:r w:rsidRPr="00F975C6">
        <w:rPr>
          <w:rFonts w:ascii="Times New Roman" w:hAnsi="Times New Roman"/>
          <w:sz w:val="24"/>
          <w:szCs w:val="24"/>
        </w:rPr>
        <w:t>.</w:t>
      </w: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5C37DE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="00732D2F" w:rsidRPr="00F975C6">
        <w:rPr>
          <w:rFonts w:ascii="Times New Roman" w:hAnsi="Times New Roman"/>
          <w:sz w:val="24"/>
          <w:szCs w:val="24"/>
          <w:lang w:eastAsia="pt-BR"/>
        </w:rPr>
        <w:t>RICARDO</w:t>
      </w:r>
      <w:r w:rsidR="00732D2F">
        <w:rPr>
          <w:rFonts w:ascii="Times New Roman" w:hAnsi="Times New Roman"/>
          <w:sz w:val="24"/>
          <w:szCs w:val="24"/>
          <w:lang w:eastAsia="pt-BR"/>
        </w:rPr>
        <w:t>,</w:t>
      </w:r>
      <w:r w:rsidR="00732D2F" w:rsidRPr="00F975C6">
        <w:rPr>
          <w:rFonts w:ascii="Times New Roman" w:hAnsi="Times New Roman"/>
          <w:sz w:val="24"/>
          <w:szCs w:val="24"/>
          <w:lang w:eastAsia="pt-BR"/>
        </w:rPr>
        <w:t xml:space="preserve"> C</w:t>
      </w:r>
      <w:r w:rsidR="00732D2F">
        <w:rPr>
          <w:rFonts w:ascii="Times New Roman" w:hAnsi="Times New Roman"/>
          <w:sz w:val="24"/>
          <w:szCs w:val="24"/>
          <w:lang w:eastAsia="pt-BR"/>
        </w:rPr>
        <w:t>.Z.;</w:t>
      </w:r>
      <w:r w:rsidR="00732D2F" w:rsidRPr="00F975C6">
        <w:rPr>
          <w:rFonts w:ascii="Times New Roman" w:hAnsi="Times New Roman"/>
          <w:sz w:val="24"/>
          <w:szCs w:val="24"/>
          <w:lang w:eastAsia="pt-BR"/>
        </w:rPr>
        <w:t xml:space="preserve"> CLARO</w:t>
      </w:r>
      <w:r w:rsidR="00732D2F">
        <w:rPr>
          <w:rFonts w:ascii="Times New Roman" w:hAnsi="Times New Roman"/>
          <w:sz w:val="24"/>
          <w:szCs w:val="24"/>
          <w:lang w:eastAsia="pt-BR"/>
        </w:rPr>
        <w:t>,</w:t>
      </w:r>
      <w:r w:rsidR="00732D2F" w:rsidRPr="00F975C6">
        <w:rPr>
          <w:rFonts w:ascii="Times New Roman" w:hAnsi="Times New Roman"/>
          <w:sz w:val="24"/>
          <w:szCs w:val="24"/>
          <w:lang w:eastAsia="pt-BR"/>
        </w:rPr>
        <w:t xml:space="preserve"> R</w:t>
      </w:r>
      <w:r w:rsidR="00732D2F">
        <w:rPr>
          <w:rFonts w:ascii="Times New Roman" w:hAnsi="Times New Roman"/>
          <w:sz w:val="24"/>
          <w:szCs w:val="24"/>
          <w:lang w:eastAsia="pt-BR"/>
        </w:rPr>
        <w:t>.</w:t>
      </w:r>
      <w:r w:rsidR="00732D2F" w:rsidRPr="00F975C6">
        <w:rPr>
          <w:rFonts w:ascii="Times New Roman" w:hAnsi="Times New Roman"/>
          <w:sz w:val="24"/>
          <w:szCs w:val="24"/>
          <w:lang w:eastAsia="pt-BR"/>
        </w:rPr>
        <w:t>M</w:t>
      </w:r>
      <w:r w:rsidR="005C37DE" w:rsidRPr="00F975C6">
        <w:rPr>
          <w:rFonts w:ascii="Times New Roman" w:hAnsi="Times New Roman"/>
          <w:sz w:val="24"/>
          <w:szCs w:val="24"/>
          <w:lang w:eastAsia="pt-BR"/>
        </w:rPr>
        <w:t xml:space="preserve">. Custo da alimentação e densidade energética da deita no Brasil, 2008-2009. </w:t>
      </w:r>
      <w:proofErr w:type="gramStart"/>
      <w:r w:rsidR="005C37DE" w:rsidRPr="0034746E">
        <w:rPr>
          <w:rFonts w:ascii="Times New Roman" w:hAnsi="Times New Roman"/>
          <w:b/>
          <w:sz w:val="24"/>
          <w:szCs w:val="24"/>
          <w:lang w:val="en-US" w:eastAsia="pt-BR"/>
        </w:rPr>
        <w:t>Cad.</w:t>
      </w:r>
      <w:proofErr w:type="gramEnd"/>
      <w:r w:rsidR="005C37DE" w:rsidRPr="0034746E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="005C37DE" w:rsidRPr="0034746E">
        <w:rPr>
          <w:rFonts w:ascii="Times New Roman" w:hAnsi="Times New Roman"/>
          <w:b/>
          <w:sz w:val="24"/>
          <w:szCs w:val="24"/>
          <w:lang w:val="en-US" w:eastAsia="pt-BR"/>
        </w:rPr>
        <w:t>Saúde</w:t>
      </w:r>
      <w:proofErr w:type="spellEnd"/>
      <w:r w:rsidR="005C37DE" w:rsidRPr="0034746E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="005C37DE" w:rsidRPr="0034746E">
        <w:rPr>
          <w:rFonts w:ascii="Times New Roman" w:hAnsi="Times New Roman"/>
          <w:b/>
          <w:sz w:val="24"/>
          <w:szCs w:val="24"/>
          <w:lang w:val="en-US" w:eastAsia="pt-BR"/>
        </w:rPr>
        <w:t>Pública</w:t>
      </w:r>
      <w:proofErr w:type="spellEnd"/>
      <w:r w:rsidR="005C37DE" w:rsidRPr="00F975C6">
        <w:rPr>
          <w:rFonts w:ascii="Times New Roman" w:hAnsi="Times New Roman"/>
          <w:sz w:val="24"/>
          <w:szCs w:val="24"/>
          <w:lang w:val="en-US" w:eastAsia="pt-BR"/>
        </w:rPr>
        <w:t>, 28(12):2349-2361</w:t>
      </w:r>
      <w:r w:rsidR="00732D2F">
        <w:rPr>
          <w:rFonts w:ascii="Times New Roman" w:hAnsi="Times New Roman"/>
          <w:sz w:val="24"/>
          <w:szCs w:val="24"/>
          <w:lang w:val="en-US" w:eastAsia="pt-BR"/>
        </w:rPr>
        <w:t>, 2012</w:t>
      </w:r>
      <w:r w:rsidR="005C37DE" w:rsidRPr="00F975C6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E3EC5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  <w:r w:rsidRPr="00F975C6">
        <w:rPr>
          <w:rFonts w:ascii="Times New Roman" w:hAnsi="Times New Roman"/>
          <w:sz w:val="24"/>
          <w:szCs w:val="24"/>
          <w:lang w:val="en-US" w:eastAsia="pt-BR"/>
        </w:rPr>
        <w:t>-</w:t>
      </w:r>
      <w:r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r w:rsidR="00732D2F" w:rsidRPr="00F975C6">
        <w:rPr>
          <w:rFonts w:ascii="Times New Roman" w:hAnsi="Times New Roman"/>
          <w:sz w:val="24"/>
          <w:szCs w:val="24"/>
          <w:lang w:val="en-US" w:eastAsia="pt-BR"/>
        </w:rPr>
        <w:t>ROLLS</w:t>
      </w:r>
      <w:r w:rsidR="00732D2F">
        <w:rPr>
          <w:rFonts w:ascii="Times New Roman" w:hAnsi="Times New Roman"/>
          <w:sz w:val="24"/>
          <w:szCs w:val="24"/>
          <w:lang w:val="en-US" w:eastAsia="pt-BR"/>
        </w:rPr>
        <w:t>,</w:t>
      </w:r>
      <w:r w:rsidR="00732D2F" w:rsidRPr="00F975C6">
        <w:rPr>
          <w:rFonts w:ascii="Times New Roman" w:hAnsi="Times New Roman"/>
          <w:sz w:val="24"/>
          <w:szCs w:val="24"/>
          <w:lang w:val="en-US" w:eastAsia="pt-BR"/>
        </w:rPr>
        <w:t xml:space="preserve"> B</w:t>
      </w:r>
      <w:r w:rsidR="00732D2F">
        <w:rPr>
          <w:rFonts w:ascii="Times New Roman" w:hAnsi="Times New Roman"/>
          <w:sz w:val="24"/>
          <w:szCs w:val="24"/>
          <w:lang w:val="en-US" w:eastAsia="pt-BR"/>
        </w:rPr>
        <w:t>.</w:t>
      </w:r>
      <w:r w:rsidR="00732D2F" w:rsidRPr="00F975C6">
        <w:rPr>
          <w:rFonts w:ascii="Times New Roman" w:hAnsi="Times New Roman"/>
          <w:sz w:val="24"/>
          <w:szCs w:val="24"/>
          <w:lang w:val="en-US" w:eastAsia="pt-BR"/>
        </w:rPr>
        <w:t>J</w:t>
      </w:r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proofErr w:type="gramStart"/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The relationship between </w:t>
      </w:r>
      <w:proofErr w:type="spellStart"/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>sietary</w:t>
      </w:r>
      <w:proofErr w:type="spellEnd"/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 energy density and energy intake.</w:t>
      </w:r>
      <w:proofErr w:type="gramEnd"/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2E3EC5" w:rsidRPr="0034746E">
        <w:rPr>
          <w:rFonts w:ascii="Times New Roman" w:hAnsi="Times New Roman"/>
          <w:b/>
          <w:sz w:val="24"/>
          <w:szCs w:val="24"/>
          <w:lang w:eastAsia="pt-BR"/>
        </w:rPr>
        <w:t>Physiol</w:t>
      </w:r>
      <w:proofErr w:type="spellEnd"/>
      <w:r w:rsidR="002E3EC5" w:rsidRPr="0034746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proofErr w:type="spellStart"/>
      <w:r w:rsidR="002E3EC5" w:rsidRPr="0034746E">
        <w:rPr>
          <w:rFonts w:ascii="Times New Roman" w:hAnsi="Times New Roman"/>
          <w:b/>
          <w:sz w:val="24"/>
          <w:szCs w:val="24"/>
          <w:lang w:eastAsia="pt-BR"/>
        </w:rPr>
        <w:t>Behav</w:t>
      </w:r>
      <w:proofErr w:type="spellEnd"/>
      <w:proofErr w:type="gramStart"/>
      <w:r w:rsidR="002E3EC5" w:rsidRPr="00F975C6">
        <w:rPr>
          <w:rFonts w:ascii="Times New Roman" w:hAnsi="Times New Roman"/>
          <w:sz w:val="24"/>
          <w:szCs w:val="24"/>
          <w:lang w:eastAsia="pt-BR"/>
        </w:rPr>
        <w:t>.,</w:t>
      </w:r>
      <w:proofErr w:type="gramEnd"/>
      <w:r w:rsidR="002E3EC5" w:rsidRPr="00F975C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32D2F">
        <w:rPr>
          <w:rFonts w:ascii="Times New Roman" w:hAnsi="Times New Roman"/>
          <w:sz w:val="24"/>
          <w:szCs w:val="24"/>
          <w:lang w:eastAsia="pt-BR"/>
        </w:rPr>
        <w:t>97(5):609-15, 2009.</w:t>
      </w:r>
    </w:p>
    <w:p w:rsidR="002E3EC5" w:rsidRPr="00E8625E" w:rsidRDefault="002E3EC5" w:rsidP="008356BF">
      <w:pPr>
        <w:pStyle w:val="SemEspaamento"/>
        <w:rPr>
          <w:rFonts w:ascii="Times New Roman" w:hAnsi="Times New Roman"/>
          <w:sz w:val="24"/>
          <w:szCs w:val="24"/>
          <w:lang w:eastAsia="pt-BR"/>
        </w:rPr>
      </w:pPr>
    </w:p>
    <w:p w:rsidR="002572F3" w:rsidRPr="005F66CD" w:rsidRDefault="002572F3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  <w:r w:rsidRPr="00F975C6">
        <w:rPr>
          <w:rFonts w:ascii="Times New Roman" w:hAnsi="Times New Roman"/>
          <w:sz w:val="24"/>
          <w:szCs w:val="24"/>
        </w:rPr>
        <w:t xml:space="preserve">- </w:t>
      </w:r>
      <w:r w:rsidR="00732D2F">
        <w:rPr>
          <w:rFonts w:ascii="Times New Roman" w:hAnsi="Times New Roman"/>
          <w:sz w:val="24"/>
          <w:szCs w:val="24"/>
        </w:rPr>
        <w:t xml:space="preserve">SALES, </w:t>
      </w:r>
      <w:r w:rsidR="00732D2F" w:rsidRPr="00F975C6">
        <w:rPr>
          <w:rFonts w:ascii="Times New Roman" w:hAnsi="Times New Roman"/>
          <w:sz w:val="24"/>
          <w:szCs w:val="24"/>
        </w:rPr>
        <w:t>R</w:t>
      </w:r>
      <w:r w:rsidR="00732D2F">
        <w:rPr>
          <w:rFonts w:ascii="Times New Roman" w:hAnsi="Times New Roman"/>
          <w:sz w:val="24"/>
          <w:szCs w:val="24"/>
        </w:rPr>
        <w:t>.L.;</w:t>
      </w:r>
      <w:r w:rsidR="00732D2F" w:rsidRPr="00F975C6">
        <w:rPr>
          <w:rFonts w:ascii="Times New Roman" w:hAnsi="Times New Roman"/>
          <w:sz w:val="24"/>
          <w:szCs w:val="24"/>
        </w:rPr>
        <w:t xml:space="preserve"> COSTA</w:t>
      </w:r>
      <w:r w:rsidR="00732D2F">
        <w:rPr>
          <w:rFonts w:ascii="Times New Roman" w:hAnsi="Times New Roman"/>
          <w:sz w:val="24"/>
          <w:szCs w:val="24"/>
        </w:rPr>
        <w:t>,</w:t>
      </w:r>
      <w:r w:rsidR="00732D2F" w:rsidRPr="00F975C6">
        <w:rPr>
          <w:rFonts w:ascii="Times New Roman" w:hAnsi="Times New Roman"/>
          <w:sz w:val="24"/>
          <w:szCs w:val="24"/>
        </w:rPr>
        <w:t xml:space="preserve"> N</w:t>
      </w:r>
      <w:r w:rsidR="00732D2F">
        <w:rPr>
          <w:rFonts w:ascii="Times New Roman" w:hAnsi="Times New Roman"/>
          <w:sz w:val="24"/>
          <w:szCs w:val="24"/>
        </w:rPr>
        <w:t>.</w:t>
      </w:r>
      <w:r w:rsidR="00732D2F" w:rsidRPr="00F975C6">
        <w:rPr>
          <w:rFonts w:ascii="Times New Roman" w:hAnsi="Times New Roman"/>
          <w:sz w:val="24"/>
          <w:szCs w:val="24"/>
        </w:rPr>
        <w:t>M</w:t>
      </w:r>
      <w:r w:rsidR="00732D2F">
        <w:rPr>
          <w:rFonts w:ascii="Times New Roman" w:hAnsi="Times New Roman"/>
          <w:sz w:val="24"/>
          <w:szCs w:val="24"/>
        </w:rPr>
        <w:t>.B.;</w:t>
      </w:r>
      <w:r w:rsidR="00732D2F" w:rsidRPr="00F975C6">
        <w:rPr>
          <w:rFonts w:ascii="Times New Roman" w:hAnsi="Times New Roman"/>
          <w:sz w:val="24"/>
          <w:szCs w:val="24"/>
        </w:rPr>
        <w:t xml:space="preserve"> SILVA</w:t>
      </w:r>
      <w:r w:rsidR="00732D2F">
        <w:rPr>
          <w:rFonts w:ascii="Times New Roman" w:hAnsi="Times New Roman"/>
          <w:sz w:val="24"/>
          <w:szCs w:val="24"/>
        </w:rPr>
        <w:t>,</w:t>
      </w:r>
      <w:r w:rsidR="00732D2F" w:rsidRPr="00F975C6">
        <w:rPr>
          <w:rFonts w:ascii="Times New Roman" w:hAnsi="Times New Roman"/>
          <w:sz w:val="24"/>
          <w:szCs w:val="24"/>
        </w:rPr>
        <w:t xml:space="preserve"> M</w:t>
      </w:r>
      <w:r w:rsidR="00732D2F">
        <w:rPr>
          <w:rFonts w:ascii="Times New Roman" w:hAnsi="Times New Roman"/>
          <w:sz w:val="24"/>
          <w:szCs w:val="24"/>
        </w:rPr>
        <w:t>.</w:t>
      </w:r>
      <w:r w:rsidR="00732D2F" w:rsidRPr="00F975C6">
        <w:rPr>
          <w:rFonts w:ascii="Times New Roman" w:hAnsi="Times New Roman"/>
          <w:sz w:val="24"/>
          <w:szCs w:val="24"/>
        </w:rPr>
        <w:t>M</w:t>
      </w:r>
      <w:r w:rsidR="00732D2F">
        <w:rPr>
          <w:rFonts w:ascii="Times New Roman" w:hAnsi="Times New Roman"/>
          <w:sz w:val="24"/>
          <w:szCs w:val="24"/>
        </w:rPr>
        <w:t>.</w:t>
      </w:r>
      <w:r w:rsidR="00732D2F" w:rsidRPr="00F975C6">
        <w:rPr>
          <w:rFonts w:ascii="Times New Roman" w:hAnsi="Times New Roman"/>
          <w:sz w:val="24"/>
          <w:szCs w:val="24"/>
        </w:rPr>
        <w:t>S</w:t>
      </w:r>
      <w:r w:rsidR="002E3EC5" w:rsidRPr="00F975C6">
        <w:rPr>
          <w:rFonts w:ascii="Times New Roman" w:hAnsi="Times New Roman"/>
          <w:sz w:val="24"/>
          <w:szCs w:val="24"/>
        </w:rPr>
        <w:t xml:space="preserve">. </w:t>
      </w:r>
      <w:r w:rsidR="002E3EC5" w:rsidRPr="0034746E">
        <w:rPr>
          <w:rFonts w:ascii="Times New Roman" w:hAnsi="Times New Roman"/>
          <w:b/>
          <w:sz w:val="24"/>
          <w:szCs w:val="24"/>
        </w:rPr>
        <w:t>Avaliando o consumo alimentar por fotos</w:t>
      </w:r>
      <w:r w:rsidR="002E3EC5" w:rsidRPr="00F975C6">
        <w:rPr>
          <w:rFonts w:ascii="Times New Roman" w:hAnsi="Times New Roman"/>
          <w:sz w:val="24"/>
          <w:szCs w:val="24"/>
        </w:rPr>
        <w:t>. Viçosa: UFV; 2004.</w:t>
      </w:r>
    </w:p>
    <w:p w:rsid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F975C6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</w:rPr>
      </w:pPr>
    </w:p>
    <w:p w:rsidR="002E3EC5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  <w:r w:rsidRPr="00F975C6">
        <w:rPr>
          <w:rFonts w:ascii="Times New Roman" w:hAnsi="Times New Roman"/>
          <w:sz w:val="24"/>
          <w:szCs w:val="24"/>
        </w:rPr>
        <w:t xml:space="preserve">- </w:t>
      </w:r>
      <w:r w:rsidR="002E3EC5" w:rsidRPr="0034746E">
        <w:rPr>
          <w:rFonts w:ascii="Times New Roman" w:hAnsi="Times New Roman"/>
          <w:b/>
          <w:sz w:val="24"/>
          <w:szCs w:val="24"/>
        </w:rPr>
        <w:t>Tabela Brasileira de Composição de Alimentos (TACO)</w:t>
      </w:r>
      <w:r w:rsidR="002E3EC5" w:rsidRPr="00F975C6">
        <w:rPr>
          <w:rFonts w:ascii="Times New Roman" w:hAnsi="Times New Roman"/>
          <w:sz w:val="24"/>
          <w:szCs w:val="24"/>
        </w:rPr>
        <w:t xml:space="preserve"> Versão 4 / </w:t>
      </w:r>
      <w:proofErr w:type="spellStart"/>
      <w:r w:rsidR="002E3EC5" w:rsidRPr="00F975C6">
        <w:rPr>
          <w:rFonts w:ascii="Times New Roman" w:hAnsi="Times New Roman"/>
          <w:sz w:val="24"/>
          <w:szCs w:val="24"/>
        </w:rPr>
        <w:t>Nepa</w:t>
      </w:r>
      <w:proofErr w:type="spellEnd"/>
      <w:r w:rsidR="002E3EC5" w:rsidRPr="00F975C6">
        <w:rPr>
          <w:rFonts w:ascii="Times New Roman" w:hAnsi="Times New Roman"/>
          <w:sz w:val="24"/>
          <w:szCs w:val="24"/>
        </w:rPr>
        <w:t xml:space="preserve"> - Unicamp. </w:t>
      </w:r>
      <w:r w:rsidR="002E3EC5" w:rsidRPr="005F66CD">
        <w:rPr>
          <w:rFonts w:ascii="Times New Roman" w:hAnsi="Times New Roman"/>
          <w:sz w:val="24"/>
          <w:szCs w:val="24"/>
          <w:lang w:val="en-US"/>
        </w:rPr>
        <w:t xml:space="preserve">Campinas: </w:t>
      </w:r>
      <w:proofErr w:type="spellStart"/>
      <w:r w:rsidR="002E3EC5" w:rsidRPr="005F66CD">
        <w:rPr>
          <w:rFonts w:ascii="Times New Roman" w:hAnsi="Times New Roman"/>
          <w:sz w:val="24"/>
          <w:szCs w:val="24"/>
          <w:lang w:val="en-US"/>
        </w:rPr>
        <w:t>Nepa-Unicamp</w:t>
      </w:r>
      <w:proofErr w:type="spellEnd"/>
      <w:r w:rsidR="002E3EC5" w:rsidRPr="005F66CD">
        <w:rPr>
          <w:rFonts w:ascii="Times New Roman" w:hAnsi="Times New Roman"/>
          <w:sz w:val="24"/>
          <w:szCs w:val="24"/>
          <w:lang w:val="en-US"/>
        </w:rPr>
        <w:t>, 2011.</w:t>
      </w: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/>
        </w:rPr>
      </w:pPr>
    </w:p>
    <w:p w:rsidR="002E3EC5" w:rsidRPr="00F975C6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5F66CD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- </w:t>
      </w:r>
      <w:r w:rsidR="00732D2F" w:rsidRPr="005F66CD">
        <w:rPr>
          <w:rFonts w:ascii="Times New Roman" w:hAnsi="Times New Roman"/>
          <w:sz w:val="24"/>
          <w:szCs w:val="24"/>
          <w:lang w:val="en-US" w:eastAsia="pt-BR"/>
        </w:rPr>
        <w:t>TAVARES, L.F.; FONSECA, S.C.; GARCIA, R.M.L.; YOKOO, E.M</w:t>
      </w:r>
      <w:r w:rsidR="002E3EC5" w:rsidRPr="005F66CD">
        <w:rPr>
          <w:rFonts w:ascii="Times New Roman" w:hAnsi="Times New Roman"/>
          <w:sz w:val="24"/>
          <w:szCs w:val="24"/>
          <w:lang w:val="en-US" w:eastAsia="pt-BR"/>
        </w:rPr>
        <w:t xml:space="preserve">. </w:t>
      </w:r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Relationship between ultra-processed and metabolic syndrome in adolescents from a Brazilian family doctor program. </w:t>
      </w:r>
      <w:proofErr w:type="gramStart"/>
      <w:r w:rsidR="002E3EC5" w:rsidRPr="0034746E">
        <w:rPr>
          <w:rFonts w:ascii="Times New Roman" w:hAnsi="Times New Roman"/>
          <w:b/>
          <w:sz w:val="24"/>
          <w:szCs w:val="24"/>
          <w:lang w:val="en-US" w:eastAsia="pt-BR"/>
        </w:rPr>
        <w:t>Public.</w:t>
      </w:r>
      <w:proofErr w:type="gramEnd"/>
      <w:r w:rsidR="002E3EC5" w:rsidRPr="0034746E">
        <w:rPr>
          <w:rFonts w:ascii="Times New Roman" w:hAnsi="Times New Roman"/>
          <w:b/>
          <w:sz w:val="24"/>
          <w:szCs w:val="24"/>
          <w:lang w:val="en-US" w:eastAsia="pt-BR"/>
        </w:rPr>
        <w:t xml:space="preserve"> Health </w:t>
      </w:r>
      <w:proofErr w:type="spellStart"/>
      <w:proofErr w:type="gramStart"/>
      <w:r w:rsidR="002E3EC5" w:rsidRPr="0034746E">
        <w:rPr>
          <w:rFonts w:ascii="Times New Roman" w:hAnsi="Times New Roman"/>
          <w:b/>
          <w:sz w:val="24"/>
          <w:szCs w:val="24"/>
          <w:lang w:val="en-US" w:eastAsia="pt-BR"/>
        </w:rPr>
        <w:t>Nutr</w:t>
      </w:r>
      <w:proofErr w:type="spellEnd"/>
      <w:r w:rsidR="002E3EC5" w:rsidRPr="0034746E">
        <w:rPr>
          <w:rFonts w:ascii="Times New Roman" w:hAnsi="Times New Roman"/>
          <w:b/>
          <w:sz w:val="24"/>
          <w:szCs w:val="24"/>
          <w:lang w:val="en-US" w:eastAsia="pt-BR"/>
        </w:rPr>
        <w:t>.,</w:t>
      </w:r>
      <w:proofErr w:type="gramEnd"/>
      <w:r w:rsidR="002E3EC5" w:rsidRPr="0034746E">
        <w:rPr>
          <w:rFonts w:ascii="Times New Roman" w:hAnsi="Times New Roman"/>
          <w:b/>
          <w:sz w:val="24"/>
          <w:szCs w:val="24"/>
          <w:lang w:val="en-US" w:eastAsia="pt-BR"/>
        </w:rPr>
        <w:t xml:space="preserve"> </w:t>
      </w:r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>15(1):82-7</w:t>
      </w:r>
      <w:r w:rsidR="00732D2F">
        <w:rPr>
          <w:rFonts w:ascii="Times New Roman" w:hAnsi="Times New Roman"/>
          <w:sz w:val="24"/>
          <w:szCs w:val="24"/>
          <w:lang w:val="en-US" w:eastAsia="pt-BR"/>
        </w:rPr>
        <w:t>, 2012</w:t>
      </w:r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>.</w:t>
      </w:r>
    </w:p>
    <w:p w:rsidR="00F975C6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5F66CD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- </w:t>
      </w:r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World Health Organization. </w:t>
      </w:r>
      <w:proofErr w:type="gramStart"/>
      <w:r w:rsidRPr="0034746E">
        <w:rPr>
          <w:rFonts w:ascii="Times New Roman" w:hAnsi="Times New Roman"/>
          <w:b/>
          <w:sz w:val="24"/>
          <w:szCs w:val="24"/>
          <w:lang w:val="en-US" w:eastAsia="pt-BR"/>
        </w:rPr>
        <w:t>WHO Expert Committee on Physical Status</w:t>
      </w:r>
      <w:r w:rsidRPr="00F975C6">
        <w:rPr>
          <w:rFonts w:ascii="Times New Roman" w:hAnsi="Times New Roman"/>
          <w:sz w:val="24"/>
          <w:szCs w:val="24"/>
          <w:lang w:val="en-US" w:eastAsia="pt-BR"/>
        </w:rPr>
        <w:t>.</w:t>
      </w:r>
      <w:proofErr w:type="gramEnd"/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r w:rsidRPr="00F975C6">
        <w:rPr>
          <w:rFonts w:ascii="Times New Roman" w:hAnsi="Times New Roman"/>
          <w:bCs/>
          <w:sz w:val="24"/>
          <w:szCs w:val="24"/>
          <w:lang w:val="en-US" w:eastAsia="pt-BR"/>
        </w:rPr>
        <w:t>Physical status:</w:t>
      </w:r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 the use and interpretation of anthropometry. Geneva: World Health Organization, 1995. </w:t>
      </w:r>
      <w:proofErr w:type="gramStart"/>
      <w:r w:rsidRPr="005F66CD">
        <w:rPr>
          <w:rFonts w:ascii="Times New Roman" w:hAnsi="Times New Roman"/>
          <w:sz w:val="24"/>
          <w:szCs w:val="24"/>
          <w:lang w:val="en-US" w:eastAsia="pt-BR"/>
        </w:rPr>
        <w:t>WHO technical report series, n. 854.</w:t>
      </w:r>
      <w:proofErr w:type="gramEnd"/>
      <w:r w:rsidRPr="005F66CD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</w:p>
    <w:p w:rsidR="00F975C6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5F66CD">
        <w:rPr>
          <w:rFonts w:ascii="Times New Roman" w:hAnsi="Times New Roman"/>
          <w:sz w:val="24"/>
          <w:szCs w:val="24"/>
          <w:lang w:val="en-US" w:eastAsia="pt-BR"/>
        </w:rPr>
        <w:lastRenderedPageBreak/>
        <w:t xml:space="preserve">- </w:t>
      </w:r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World Health Organization. </w:t>
      </w:r>
      <w:proofErr w:type="gramStart"/>
      <w:r w:rsidRPr="0034746E">
        <w:rPr>
          <w:rFonts w:ascii="Times New Roman" w:hAnsi="Times New Roman"/>
          <w:b/>
          <w:sz w:val="24"/>
          <w:szCs w:val="24"/>
          <w:lang w:val="en-US" w:eastAsia="pt-BR"/>
        </w:rPr>
        <w:t>Global strategy on diet, physical activity and health.</w:t>
      </w:r>
      <w:proofErr w:type="gramEnd"/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gramStart"/>
      <w:r w:rsidRPr="00F975C6">
        <w:rPr>
          <w:rFonts w:ascii="Times New Roman" w:hAnsi="Times New Roman"/>
          <w:sz w:val="24"/>
          <w:szCs w:val="24"/>
          <w:lang w:val="en-US" w:eastAsia="pt-BR"/>
        </w:rPr>
        <w:t>Resolution WHA 57.17.</w:t>
      </w:r>
      <w:proofErr w:type="gramEnd"/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gramStart"/>
      <w:r w:rsidRPr="00F975C6">
        <w:rPr>
          <w:rFonts w:ascii="Times New Roman" w:hAnsi="Times New Roman"/>
          <w:sz w:val="24"/>
          <w:szCs w:val="24"/>
          <w:lang w:val="en-US" w:eastAsia="pt-BR"/>
        </w:rPr>
        <w:t>The 57th World Health Assembly.</w:t>
      </w:r>
      <w:proofErr w:type="gramEnd"/>
      <w:r w:rsidRPr="00F975C6">
        <w:rPr>
          <w:rFonts w:ascii="Times New Roman" w:hAnsi="Times New Roman"/>
          <w:sz w:val="24"/>
          <w:szCs w:val="24"/>
          <w:lang w:val="en-US" w:eastAsia="pt-BR"/>
        </w:rPr>
        <w:t xml:space="preserve"> Geneva: WHO; 2004.</w:t>
      </w:r>
    </w:p>
    <w:p w:rsidR="00F975C6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</w:pPr>
    </w:p>
    <w:p w:rsidR="002E3EC5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  <w:r w:rsidRPr="005F66CD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- </w:t>
      </w:r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World Health Organization. </w:t>
      </w:r>
      <w:proofErr w:type="gramStart"/>
      <w:r w:rsidR="002E3EC5" w:rsidRPr="0034746E">
        <w:rPr>
          <w:rFonts w:ascii="Times New Roman" w:hAnsi="Times New Roman"/>
          <w:b/>
          <w:sz w:val="24"/>
          <w:szCs w:val="24"/>
          <w:lang w:val="en-US" w:eastAsia="pt-BR"/>
        </w:rPr>
        <w:t>Global recommendations on physical activity for health</w:t>
      </w:r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>.</w:t>
      </w:r>
      <w:proofErr w:type="gramEnd"/>
      <w:r w:rsidR="002E3EC5" w:rsidRPr="00F975C6">
        <w:rPr>
          <w:rFonts w:ascii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2E3EC5" w:rsidRPr="005F66CD">
        <w:rPr>
          <w:rFonts w:ascii="Times New Roman" w:hAnsi="Times New Roman"/>
          <w:sz w:val="24"/>
          <w:szCs w:val="24"/>
          <w:lang w:val="en-US" w:eastAsia="pt-BR"/>
        </w:rPr>
        <w:t>Genebra</w:t>
      </w:r>
      <w:proofErr w:type="spellEnd"/>
      <w:r w:rsidR="002E3EC5" w:rsidRPr="005F66CD">
        <w:rPr>
          <w:rFonts w:ascii="Times New Roman" w:hAnsi="Times New Roman"/>
          <w:sz w:val="24"/>
          <w:szCs w:val="24"/>
          <w:lang w:val="en-US" w:eastAsia="pt-BR"/>
        </w:rPr>
        <w:t xml:space="preserve">: WHO; 2010. </w:t>
      </w: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F975C6" w:rsidRPr="005F66CD" w:rsidRDefault="00F975C6" w:rsidP="008356BF">
      <w:pPr>
        <w:pStyle w:val="SemEspaamento"/>
        <w:rPr>
          <w:rFonts w:ascii="Times New Roman" w:hAnsi="Times New Roman"/>
          <w:sz w:val="24"/>
          <w:szCs w:val="24"/>
          <w:lang w:val="en-US" w:eastAsia="pt-BR"/>
        </w:rPr>
      </w:pPr>
    </w:p>
    <w:p w:rsidR="0065453E" w:rsidRPr="005F66CD" w:rsidRDefault="00F975C6" w:rsidP="008356BF">
      <w:pPr>
        <w:pStyle w:val="SemEspaamento"/>
        <w:rPr>
          <w:rFonts w:ascii="Times New Roman" w:eastAsia="Times New Roman" w:hAnsi="Times New Roman"/>
          <w:sz w:val="24"/>
          <w:szCs w:val="24"/>
          <w:lang w:val="en-US" w:eastAsia="pt-BR"/>
        </w:rPr>
        <w:sectPr w:rsidR="0065453E" w:rsidRPr="005F66CD" w:rsidSect="002871D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5F66CD">
        <w:rPr>
          <w:rFonts w:ascii="Times New Roman" w:hAnsi="Times New Roman"/>
          <w:sz w:val="24"/>
          <w:szCs w:val="24"/>
          <w:lang w:val="en-US" w:eastAsia="pt-BR"/>
        </w:rPr>
        <w:t xml:space="preserve">- 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>ZOBEL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,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E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.H.;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HANSEN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,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T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.W.;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ROSSING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, P.;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VON SCHOLTEN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,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B</w:t>
      </w:r>
      <w:r w:rsidR="00732D2F">
        <w:rPr>
          <w:rFonts w:ascii="Times New Roman" w:eastAsia="Times New Roman" w:hAnsi="Times New Roman"/>
          <w:sz w:val="24"/>
          <w:szCs w:val="24"/>
          <w:lang w:val="en-US" w:eastAsia="pt-BR"/>
        </w:rPr>
        <w:t>.</w:t>
      </w:r>
      <w:r w:rsidR="00732D2F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>J</w:t>
      </w:r>
      <w:r w:rsidR="002E3EC5" w:rsidRPr="00F975C6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. Global Chance in food supply and the obesity epidemic. </w:t>
      </w:r>
      <w:r w:rsidR="002E3EC5" w:rsidRPr="005F66CD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Springer link</w:t>
      </w:r>
      <w:r w:rsidR="002E3EC5" w:rsidRPr="005F66CD">
        <w:rPr>
          <w:rFonts w:ascii="Times New Roman" w:eastAsia="Times New Roman" w:hAnsi="Times New Roman"/>
          <w:sz w:val="24"/>
          <w:szCs w:val="24"/>
          <w:lang w:val="en-US" w:eastAsia="pt-BR"/>
        </w:rPr>
        <w:t>, 5(4): 449-455</w:t>
      </w:r>
      <w:r w:rsidR="00732D2F" w:rsidRPr="005F66CD">
        <w:rPr>
          <w:rFonts w:ascii="Times New Roman" w:eastAsia="Times New Roman" w:hAnsi="Times New Roman"/>
          <w:sz w:val="24"/>
          <w:szCs w:val="24"/>
          <w:lang w:val="en-US" w:eastAsia="pt-BR"/>
        </w:rPr>
        <w:t>, 2016</w:t>
      </w:r>
      <w:r w:rsidR="001678A9" w:rsidRPr="005F66CD">
        <w:rPr>
          <w:rFonts w:ascii="Times New Roman" w:eastAsia="Times New Roman" w:hAnsi="Times New Roman"/>
          <w:sz w:val="24"/>
          <w:szCs w:val="24"/>
          <w:lang w:val="en-US" w:eastAsia="pt-BR"/>
        </w:rPr>
        <w:t>.</w:t>
      </w:r>
    </w:p>
    <w:p w:rsidR="00173C6A" w:rsidRPr="00E8625E" w:rsidRDefault="00173C6A" w:rsidP="00173C6A">
      <w:pPr>
        <w:spacing w:after="0" w:line="480" w:lineRule="auto"/>
        <w:ind w:firstLine="709"/>
        <w:jc w:val="both"/>
        <w:rPr>
          <w:lang w:val="en-US"/>
        </w:rPr>
      </w:pPr>
      <w:r w:rsidRPr="00E8625E">
        <w:rPr>
          <w:lang w:val="en-US"/>
        </w:rPr>
        <w:lastRenderedPageBreak/>
        <w:t>ABSTRACT</w:t>
      </w:r>
    </w:p>
    <w:p w:rsidR="00173C6A" w:rsidRPr="00BC2448" w:rsidRDefault="00173C6A" w:rsidP="00173C6A">
      <w:pPr>
        <w:pStyle w:val="Pr-formataoHTML"/>
        <w:shd w:val="clear" w:color="auto" w:fill="FFFFFF"/>
        <w:spacing w:line="480" w:lineRule="auto"/>
        <w:jc w:val="both"/>
        <w:rPr>
          <w:rFonts w:ascii="Times New Roman" w:hAnsi="Times New Roman"/>
          <w:sz w:val="24"/>
          <w:szCs w:val="24"/>
          <w:lang w:val="en" w:eastAsia="pt-BR"/>
        </w:rPr>
      </w:pPr>
      <w:r w:rsidRPr="005F66CD">
        <w:rPr>
          <w:lang w:val="en-US"/>
        </w:rPr>
        <w:br/>
      </w:r>
      <w:proofErr w:type="gramStart"/>
      <w:r>
        <w:rPr>
          <w:rFonts w:ascii="Times New Roman" w:hAnsi="Times New Roman"/>
          <w:color w:val="212121"/>
          <w:sz w:val="24"/>
          <w:szCs w:val="24"/>
          <w:lang w:val="en" w:eastAsia="pt-BR"/>
        </w:rPr>
        <w:t>T</w:t>
      </w:r>
      <w:r w:rsidRPr="00FD5B10">
        <w:rPr>
          <w:rFonts w:ascii="Times New Roman" w:hAnsi="Times New Roman"/>
          <w:sz w:val="24"/>
          <w:szCs w:val="24"/>
          <w:lang w:val="en" w:eastAsia="pt-BR"/>
        </w:rPr>
        <w:t xml:space="preserve">o evaluate the contribution of processed and </w:t>
      </w:r>
      <w:proofErr w:type="spellStart"/>
      <w:r w:rsidRPr="00FD5B10">
        <w:rPr>
          <w:rFonts w:ascii="Times New Roman" w:hAnsi="Times New Roman"/>
          <w:sz w:val="24"/>
          <w:szCs w:val="24"/>
          <w:lang w:val="en" w:eastAsia="pt-BR"/>
        </w:rPr>
        <w:t>ultraprocessed</w:t>
      </w:r>
      <w:proofErr w:type="spellEnd"/>
      <w:r w:rsidRPr="00FD5B10">
        <w:rPr>
          <w:rFonts w:ascii="Times New Roman" w:hAnsi="Times New Roman"/>
          <w:sz w:val="24"/>
          <w:szCs w:val="24"/>
          <w:lang w:val="en" w:eastAsia="pt-BR"/>
        </w:rPr>
        <w:t xml:space="preserve"> foods in the intake of macronutrients and fibe</w:t>
      </w:r>
      <w:r>
        <w:rPr>
          <w:rFonts w:ascii="Times New Roman" w:hAnsi="Times New Roman"/>
          <w:sz w:val="24"/>
          <w:szCs w:val="24"/>
          <w:lang w:val="en" w:eastAsia="pt-BR"/>
        </w:rPr>
        <w:t>rs in overweight adult subjects.</w:t>
      </w:r>
      <w:proofErr w:type="gramEnd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This is a cross-sectional study. </w:t>
      </w:r>
      <w:proofErr w:type="gramStart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Where a quantitative food frequency questionnaire was used to evaluate food consumption.</w:t>
      </w:r>
      <w:proofErr w:type="gramEnd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The foods consumed were classified into three groups: 1 (G1) - in </w:t>
      </w:r>
      <w:proofErr w:type="spellStart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natura</w:t>
      </w:r>
      <w:proofErr w:type="spellEnd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or minimally processed foods; 2 (G2) - processed foods and cooking ingredients and 3 (G3) - </w:t>
      </w:r>
      <w:proofErr w:type="spellStart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ultraprocessed</w:t>
      </w:r>
      <w:proofErr w:type="spellEnd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foods. Energy consumption, macronutrients and fibers were estimated.</w:t>
      </w:r>
      <w:r>
        <w:rPr>
          <w:rFonts w:ascii="Times New Roman" w:hAnsi="Times New Roman"/>
          <w:sz w:val="24"/>
          <w:szCs w:val="24"/>
          <w:lang w:val="en" w:eastAsia="pt-BR"/>
        </w:rPr>
        <w:t xml:space="preserve"> </w:t>
      </w:r>
      <w:r w:rsidRPr="00FD5B10">
        <w:rPr>
          <w:rFonts w:ascii="Times New Roman" w:hAnsi="Times New Roman"/>
          <w:color w:val="212121"/>
          <w:sz w:val="24"/>
          <w:szCs w:val="24"/>
          <w:lang w:val="en" w:eastAsia="pt-BR"/>
        </w:rPr>
        <w:t>We evaluated 93 participants</w:t>
      </w:r>
      <w:r w:rsidRPr="005F66CD">
        <w:rPr>
          <w:rFonts w:ascii="Times New Roman" w:hAnsi="Times New Roman"/>
          <w:color w:val="212121"/>
          <w:sz w:val="24"/>
          <w:szCs w:val="24"/>
          <w:lang w:val="en-US" w:eastAsia="pt-BR"/>
        </w:rPr>
        <w:t xml:space="preserve"> </w:t>
      </w:r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were evaluated, of which 72.0% were female and the majority presented obesity and hypertension. The total caloric intake was of 2002</w:t>
      </w:r>
      <w:proofErr w:type="gramStart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,1</w:t>
      </w:r>
      <w:proofErr w:type="gramEnd"/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calories, being 58,4% of carbohydrates, 17,7% of proteins, 28,1% of lipids and 27,6g of fibers. </w:t>
      </w:r>
      <w:r w:rsidRPr="00FD5B10">
        <w:rPr>
          <w:rFonts w:ascii="Times New Roman" w:hAnsi="Times New Roman"/>
          <w:sz w:val="24"/>
          <w:szCs w:val="24"/>
          <w:lang w:val="en" w:eastAsia="pt-BR"/>
        </w:rPr>
        <w:t xml:space="preserve">Considering the degree of food processing, we evidenced the consumption of 975.5 calories, 29.4% of carbohydrates, 11.5% of proteins, </w:t>
      </w:r>
      <w:proofErr w:type="gramStart"/>
      <w:r w:rsidRPr="00FD5B10">
        <w:rPr>
          <w:rFonts w:ascii="Times New Roman" w:hAnsi="Times New Roman"/>
          <w:sz w:val="24"/>
          <w:szCs w:val="24"/>
          <w:lang w:val="en" w:eastAsia="pt-BR"/>
        </w:rPr>
        <w:t>10.9</w:t>
      </w:r>
      <w:proofErr w:type="gramEnd"/>
      <w:r w:rsidRPr="00FD5B10">
        <w:rPr>
          <w:rFonts w:ascii="Times New Roman" w:hAnsi="Times New Roman"/>
          <w:sz w:val="24"/>
          <w:szCs w:val="24"/>
          <w:lang w:val="en" w:eastAsia="pt-BR"/>
        </w:rPr>
        <w:t xml:space="preserve">% of lipids and 18.6g of fiber for G1 foods. For G2 and G3, lower values ​​of consumption (energy: 442.3 and 491.5 Kcal, carbohydrates: 10.1% and 14.6%, proteins: 3.1% and 2.1%; lipids: 8.5% and 6.7%, fibers: 2.0g and 3.1g, respectively). A greater percentage contribution in consumption was observed in group G1. However, considering the consumption of food G2 and G3 together, the percentage of energy and carbohydrate consumption </w:t>
      </w:r>
      <w:proofErr w:type="gramStart"/>
      <w:r w:rsidRPr="00FD5B10">
        <w:rPr>
          <w:rFonts w:ascii="Times New Roman" w:hAnsi="Times New Roman"/>
          <w:sz w:val="24"/>
          <w:szCs w:val="24"/>
          <w:lang w:val="en" w:eastAsia="pt-BR"/>
        </w:rPr>
        <w:t>equals,</w:t>
      </w:r>
      <w:proofErr w:type="gramEnd"/>
      <w:r w:rsidRPr="00FD5B10">
        <w:rPr>
          <w:rFonts w:ascii="Times New Roman" w:hAnsi="Times New Roman"/>
          <w:sz w:val="24"/>
          <w:szCs w:val="24"/>
          <w:lang w:val="en" w:eastAsia="pt-BR"/>
        </w:rPr>
        <w:t xml:space="preserve"> and of lipids exceeds that corresponding to foods G1.</w:t>
      </w:r>
      <w:r>
        <w:rPr>
          <w:rFonts w:ascii="Times New Roman" w:hAnsi="Times New Roman"/>
          <w:sz w:val="24"/>
          <w:szCs w:val="24"/>
          <w:lang w:val="en" w:eastAsia="pt-BR"/>
        </w:rPr>
        <w:t xml:space="preserve"> </w:t>
      </w:r>
      <w:r w:rsidRPr="005F66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The consumption of these foods was relatively high in the individuals' diet, which contributes to higher consumption of energy, sugars and unhealthy fats, together with low fiber contents.</w:t>
      </w:r>
    </w:p>
    <w:p w:rsidR="00173C6A" w:rsidRPr="005F66CD" w:rsidRDefault="00173C6A" w:rsidP="00173C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both"/>
        <w:rPr>
          <w:rFonts w:eastAsia="Times New Roman"/>
          <w:color w:val="212121"/>
          <w:szCs w:val="24"/>
          <w:lang w:val="en-US" w:eastAsia="pt-BR"/>
        </w:rPr>
      </w:pPr>
    </w:p>
    <w:p w:rsidR="00173C6A" w:rsidRPr="0034746E" w:rsidRDefault="00173C6A" w:rsidP="00173C6A">
      <w:pPr>
        <w:spacing w:after="0" w:line="480" w:lineRule="auto"/>
        <w:jc w:val="both"/>
        <w:rPr>
          <w:shd w:val="clear" w:color="auto" w:fill="FFFFFF"/>
          <w:lang w:val="en-US"/>
        </w:rPr>
      </w:pPr>
      <w:r w:rsidRPr="00E8625E">
        <w:rPr>
          <w:shd w:val="clear" w:color="auto" w:fill="FFFFFF"/>
          <w:lang w:val="en-US"/>
        </w:rPr>
        <w:t>KEY WORDS: Obesity</w:t>
      </w:r>
      <w:r>
        <w:rPr>
          <w:shd w:val="clear" w:color="auto" w:fill="FFFFFF"/>
          <w:lang w:val="en-US"/>
        </w:rPr>
        <w:t>;</w:t>
      </w:r>
      <w:r w:rsidRPr="00E8625E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Food consumption; </w:t>
      </w:r>
      <w:proofErr w:type="gramStart"/>
      <w:r>
        <w:rPr>
          <w:shd w:val="clear" w:color="auto" w:fill="FFFFFF"/>
          <w:lang w:val="en-US"/>
        </w:rPr>
        <w:t>Industrialized</w:t>
      </w:r>
      <w:proofErr w:type="gramEnd"/>
      <w:r>
        <w:rPr>
          <w:shd w:val="clear" w:color="auto" w:fill="FFFFFF"/>
          <w:lang w:val="en-US"/>
        </w:rPr>
        <w:t xml:space="preserve"> foods.</w:t>
      </w:r>
    </w:p>
    <w:p w:rsidR="00AF7721" w:rsidRPr="001678A9" w:rsidRDefault="00AF7721" w:rsidP="001678A9">
      <w:pPr>
        <w:tabs>
          <w:tab w:val="left" w:pos="7410"/>
        </w:tabs>
        <w:rPr>
          <w:lang w:val="en-US"/>
        </w:rPr>
      </w:pPr>
    </w:p>
    <w:sectPr w:rsidR="00AF7721" w:rsidRPr="001678A9" w:rsidSect="00AF772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A7" w:rsidRDefault="005677A7" w:rsidP="002871D1">
      <w:pPr>
        <w:spacing w:after="0" w:line="240" w:lineRule="auto"/>
      </w:pPr>
      <w:r>
        <w:separator/>
      </w:r>
    </w:p>
  </w:endnote>
  <w:endnote w:type="continuationSeparator" w:id="0">
    <w:p w:rsidR="005677A7" w:rsidRDefault="005677A7" w:rsidP="002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A7" w:rsidRDefault="005677A7" w:rsidP="002871D1">
      <w:pPr>
        <w:spacing w:after="0" w:line="240" w:lineRule="auto"/>
      </w:pPr>
      <w:r>
        <w:separator/>
      </w:r>
    </w:p>
  </w:footnote>
  <w:footnote w:type="continuationSeparator" w:id="0">
    <w:p w:rsidR="005677A7" w:rsidRDefault="005677A7" w:rsidP="00287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BB3"/>
    <w:multiLevelType w:val="hybridMultilevel"/>
    <w:tmpl w:val="7424E3AA"/>
    <w:lvl w:ilvl="0" w:tplc="A85A2CA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275518E"/>
    <w:multiLevelType w:val="hybridMultilevel"/>
    <w:tmpl w:val="EF7C25EA"/>
    <w:lvl w:ilvl="0" w:tplc="E8162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A5D72"/>
    <w:multiLevelType w:val="hybridMultilevel"/>
    <w:tmpl w:val="07768CCC"/>
    <w:lvl w:ilvl="0" w:tplc="B5AAAA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35C28"/>
    <w:multiLevelType w:val="hybridMultilevel"/>
    <w:tmpl w:val="18B4206C"/>
    <w:lvl w:ilvl="0" w:tplc="E1BC8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462AB"/>
    <w:multiLevelType w:val="hybridMultilevel"/>
    <w:tmpl w:val="106C76A4"/>
    <w:lvl w:ilvl="0" w:tplc="69D6C7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655BB"/>
    <w:multiLevelType w:val="hybridMultilevel"/>
    <w:tmpl w:val="AA702A72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84A31"/>
    <w:multiLevelType w:val="hybridMultilevel"/>
    <w:tmpl w:val="3F66B8B6"/>
    <w:lvl w:ilvl="0" w:tplc="2A80FC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A0A05"/>
    <w:multiLevelType w:val="hybridMultilevel"/>
    <w:tmpl w:val="A29A6052"/>
    <w:lvl w:ilvl="0" w:tplc="07C08B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D76D8"/>
    <w:multiLevelType w:val="hybridMultilevel"/>
    <w:tmpl w:val="EB7EC51E"/>
    <w:lvl w:ilvl="0" w:tplc="15C0A7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53B97"/>
    <w:multiLevelType w:val="hybridMultilevel"/>
    <w:tmpl w:val="1C58CFA0"/>
    <w:lvl w:ilvl="0" w:tplc="1EAE7D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064AA"/>
    <w:multiLevelType w:val="hybridMultilevel"/>
    <w:tmpl w:val="C90AF76C"/>
    <w:lvl w:ilvl="0" w:tplc="FA24D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06C4D"/>
    <w:multiLevelType w:val="hybridMultilevel"/>
    <w:tmpl w:val="6E62FCF2"/>
    <w:lvl w:ilvl="0" w:tplc="30C2EE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842CA"/>
    <w:multiLevelType w:val="hybridMultilevel"/>
    <w:tmpl w:val="833C1256"/>
    <w:lvl w:ilvl="0" w:tplc="A06E29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10D97"/>
    <w:multiLevelType w:val="hybridMultilevel"/>
    <w:tmpl w:val="C08E9828"/>
    <w:lvl w:ilvl="0" w:tplc="F28ED73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61F6264"/>
    <w:multiLevelType w:val="hybridMultilevel"/>
    <w:tmpl w:val="796EE992"/>
    <w:lvl w:ilvl="0" w:tplc="FA24D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227AB"/>
    <w:multiLevelType w:val="hybridMultilevel"/>
    <w:tmpl w:val="4E1CFC44"/>
    <w:lvl w:ilvl="0" w:tplc="C87A9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11"/>
  </w:num>
  <w:num w:numId="9">
    <w:abstractNumId w:val="1"/>
  </w:num>
  <w:num w:numId="10">
    <w:abstractNumId w:val="15"/>
  </w:num>
  <w:num w:numId="11">
    <w:abstractNumId w:val="7"/>
  </w:num>
  <w:num w:numId="12">
    <w:abstractNumId w:val="8"/>
  </w:num>
  <w:num w:numId="13">
    <w:abstractNumId w:val="3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C6"/>
    <w:rsid w:val="000022DC"/>
    <w:rsid w:val="00096539"/>
    <w:rsid w:val="000C6B6A"/>
    <w:rsid w:val="00104181"/>
    <w:rsid w:val="00110359"/>
    <w:rsid w:val="001678A9"/>
    <w:rsid w:val="00173C6A"/>
    <w:rsid w:val="001772EA"/>
    <w:rsid w:val="002572F3"/>
    <w:rsid w:val="00281BE3"/>
    <w:rsid w:val="002871D1"/>
    <w:rsid w:val="002A52EB"/>
    <w:rsid w:val="002C07D2"/>
    <w:rsid w:val="002C1FFD"/>
    <w:rsid w:val="002E3EC5"/>
    <w:rsid w:val="0034746E"/>
    <w:rsid w:val="00370C34"/>
    <w:rsid w:val="00372815"/>
    <w:rsid w:val="003808DD"/>
    <w:rsid w:val="003A4ADB"/>
    <w:rsid w:val="003C5070"/>
    <w:rsid w:val="003E7591"/>
    <w:rsid w:val="00415ABF"/>
    <w:rsid w:val="00416C89"/>
    <w:rsid w:val="00424A65"/>
    <w:rsid w:val="0045256A"/>
    <w:rsid w:val="00492CA1"/>
    <w:rsid w:val="004C0BA5"/>
    <w:rsid w:val="004D4369"/>
    <w:rsid w:val="00550BB0"/>
    <w:rsid w:val="0056000E"/>
    <w:rsid w:val="005677A7"/>
    <w:rsid w:val="005A3944"/>
    <w:rsid w:val="005C2D74"/>
    <w:rsid w:val="005C37DE"/>
    <w:rsid w:val="005F2EDD"/>
    <w:rsid w:val="005F66CD"/>
    <w:rsid w:val="00630F80"/>
    <w:rsid w:val="0065453E"/>
    <w:rsid w:val="006E0087"/>
    <w:rsid w:val="00732D2F"/>
    <w:rsid w:val="00737934"/>
    <w:rsid w:val="00742EA0"/>
    <w:rsid w:val="00750CE6"/>
    <w:rsid w:val="00764CE8"/>
    <w:rsid w:val="007E65CB"/>
    <w:rsid w:val="008356BF"/>
    <w:rsid w:val="00911741"/>
    <w:rsid w:val="009704C4"/>
    <w:rsid w:val="009947C6"/>
    <w:rsid w:val="009A1044"/>
    <w:rsid w:val="00A51AF7"/>
    <w:rsid w:val="00A609DE"/>
    <w:rsid w:val="00AC62A1"/>
    <w:rsid w:val="00AD2879"/>
    <w:rsid w:val="00AD4984"/>
    <w:rsid w:val="00AE5E32"/>
    <w:rsid w:val="00AF7721"/>
    <w:rsid w:val="00B3740B"/>
    <w:rsid w:val="00BC2448"/>
    <w:rsid w:val="00BE4648"/>
    <w:rsid w:val="00C02D9B"/>
    <w:rsid w:val="00C41A1E"/>
    <w:rsid w:val="00C47A9B"/>
    <w:rsid w:val="00C95554"/>
    <w:rsid w:val="00CD37DA"/>
    <w:rsid w:val="00D10B79"/>
    <w:rsid w:val="00D356F3"/>
    <w:rsid w:val="00DD2068"/>
    <w:rsid w:val="00E05D7B"/>
    <w:rsid w:val="00E166D1"/>
    <w:rsid w:val="00E23DA8"/>
    <w:rsid w:val="00E577B7"/>
    <w:rsid w:val="00EB2B0E"/>
    <w:rsid w:val="00EC571D"/>
    <w:rsid w:val="00ED6817"/>
    <w:rsid w:val="00EF12D5"/>
    <w:rsid w:val="00F975C6"/>
    <w:rsid w:val="00F97ED0"/>
    <w:rsid w:val="00FD2C73"/>
    <w:rsid w:val="00F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7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47C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947C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7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C6"/>
    <w:rPr>
      <w:rFonts w:ascii="Tahoma" w:eastAsia="Calibri" w:hAnsi="Tahoma" w:cs="Times New Roman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7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47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47C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7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7C6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94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7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94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7C6"/>
    <w:rPr>
      <w:rFonts w:ascii="Calibri" w:eastAsia="Calibri" w:hAnsi="Calibri" w:cs="Times New Roman"/>
    </w:rPr>
  </w:style>
  <w:style w:type="character" w:styleId="HiperlinkVisitado">
    <w:name w:val="FollowedHyperlink"/>
    <w:uiPriority w:val="99"/>
    <w:semiHidden/>
    <w:unhideWhenUsed/>
    <w:rsid w:val="009947C6"/>
    <w:rPr>
      <w:color w:val="954F72"/>
      <w:u w:val="single"/>
    </w:rPr>
  </w:style>
  <w:style w:type="paragraph" w:customStyle="1" w:styleId="Default">
    <w:name w:val="Default"/>
    <w:rsid w:val="00994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9947C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994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947C6"/>
    <w:rPr>
      <w:rFonts w:ascii="Courier New" w:eastAsia="Times New Roman" w:hAnsi="Courier New" w:cs="Times New Roman"/>
      <w:sz w:val="20"/>
      <w:szCs w:val="20"/>
    </w:rPr>
  </w:style>
  <w:style w:type="character" w:customStyle="1" w:styleId="highwire-cite-metadata-volume">
    <w:name w:val="highwire-cite-metadata-volume"/>
    <w:rsid w:val="009947C6"/>
  </w:style>
  <w:style w:type="character" w:customStyle="1" w:styleId="highwire-cite-metadata-pages">
    <w:name w:val="highwire-cite-metadata-pages"/>
    <w:rsid w:val="009947C6"/>
  </w:style>
  <w:style w:type="character" w:customStyle="1" w:styleId="apple-converted-space">
    <w:name w:val="apple-converted-space"/>
    <w:rsid w:val="009947C6"/>
  </w:style>
  <w:style w:type="character" w:customStyle="1" w:styleId="alt-edited">
    <w:name w:val="alt-edited"/>
    <w:basedOn w:val="Fontepargpadro"/>
    <w:rsid w:val="009947C6"/>
  </w:style>
  <w:style w:type="paragraph" w:styleId="PargrafodaLista">
    <w:name w:val="List Paragraph"/>
    <w:basedOn w:val="Normal"/>
    <w:uiPriority w:val="34"/>
    <w:qFormat/>
    <w:rsid w:val="009947C6"/>
    <w:pPr>
      <w:spacing w:after="200" w:line="276" w:lineRule="auto"/>
      <w:ind w:left="720"/>
      <w:contextualSpacing/>
    </w:pPr>
  </w:style>
  <w:style w:type="character" w:customStyle="1" w:styleId="longtext">
    <w:name w:val="long_text"/>
    <w:basedOn w:val="Fontepargpadro"/>
    <w:rsid w:val="00AF7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74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47C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947C6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47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7C6"/>
    <w:rPr>
      <w:rFonts w:ascii="Tahoma" w:eastAsia="Calibri" w:hAnsi="Tahoma" w:cs="Times New Roman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7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47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47C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7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47C6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94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47C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94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47C6"/>
    <w:rPr>
      <w:rFonts w:ascii="Calibri" w:eastAsia="Calibri" w:hAnsi="Calibri" w:cs="Times New Roman"/>
    </w:rPr>
  </w:style>
  <w:style w:type="character" w:styleId="HiperlinkVisitado">
    <w:name w:val="FollowedHyperlink"/>
    <w:uiPriority w:val="99"/>
    <w:semiHidden/>
    <w:unhideWhenUsed/>
    <w:rsid w:val="009947C6"/>
    <w:rPr>
      <w:color w:val="954F72"/>
      <w:u w:val="single"/>
    </w:rPr>
  </w:style>
  <w:style w:type="paragraph" w:customStyle="1" w:styleId="Default">
    <w:name w:val="Default"/>
    <w:rsid w:val="009947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9947C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994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947C6"/>
    <w:rPr>
      <w:rFonts w:ascii="Courier New" w:eastAsia="Times New Roman" w:hAnsi="Courier New" w:cs="Times New Roman"/>
      <w:sz w:val="20"/>
      <w:szCs w:val="20"/>
    </w:rPr>
  </w:style>
  <w:style w:type="character" w:customStyle="1" w:styleId="highwire-cite-metadata-volume">
    <w:name w:val="highwire-cite-metadata-volume"/>
    <w:rsid w:val="009947C6"/>
  </w:style>
  <w:style w:type="character" w:customStyle="1" w:styleId="highwire-cite-metadata-pages">
    <w:name w:val="highwire-cite-metadata-pages"/>
    <w:rsid w:val="009947C6"/>
  </w:style>
  <w:style w:type="character" w:customStyle="1" w:styleId="apple-converted-space">
    <w:name w:val="apple-converted-space"/>
    <w:rsid w:val="009947C6"/>
  </w:style>
  <w:style w:type="character" w:customStyle="1" w:styleId="alt-edited">
    <w:name w:val="alt-edited"/>
    <w:basedOn w:val="Fontepargpadro"/>
    <w:rsid w:val="009947C6"/>
  </w:style>
  <w:style w:type="paragraph" w:styleId="PargrafodaLista">
    <w:name w:val="List Paragraph"/>
    <w:basedOn w:val="Normal"/>
    <w:uiPriority w:val="34"/>
    <w:qFormat/>
    <w:rsid w:val="009947C6"/>
    <w:pPr>
      <w:spacing w:after="200" w:line="276" w:lineRule="auto"/>
      <w:ind w:left="720"/>
      <w:contextualSpacing/>
    </w:pPr>
  </w:style>
  <w:style w:type="character" w:customStyle="1" w:styleId="longtext">
    <w:name w:val="long_text"/>
    <w:basedOn w:val="Fontepargpadro"/>
    <w:rsid w:val="00AF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E4AE-DDA8-4A72-8D02-0543FBF81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4722</Words>
  <Characters>25500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2017-03-27T12:51:00Z</cp:lastPrinted>
  <dcterms:created xsi:type="dcterms:W3CDTF">2018-04-02T20:53:00Z</dcterms:created>
  <dcterms:modified xsi:type="dcterms:W3CDTF">2018-04-02T20:53:00Z</dcterms:modified>
</cp:coreProperties>
</file>