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9A" w:rsidRPr="00421C9A" w:rsidRDefault="0017785E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  <w:r w:rsidR="00421C9A" w:rsidRPr="00421C9A">
        <w:rPr>
          <w:rFonts w:ascii="Times New Roman" w:hAnsi="Times New Roman" w:cs="Times New Roman"/>
          <w:sz w:val="24"/>
          <w:szCs w:val="24"/>
        </w:rPr>
        <w:t>: Frequência simples da amostra de acordo com o gênero.</w:t>
      </w:r>
    </w:p>
    <w:tbl>
      <w:tblPr>
        <w:tblStyle w:val="SombreamentoClaro"/>
        <w:tblW w:w="4338" w:type="dxa"/>
        <w:tblLook w:val="04E0" w:firstRow="1" w:lastRow="1" w:firstColumn="1" w:lastColumn="0" w:noHBand="0" w:noVBand="1"/>
      </w:tblPr>
      <w:tblGrid>
        <w:gridCol w:w="1336"/>
        <w:gridCol w:w="1346"/>
        <w:gridCol w:w="1656"/>
      </w:tblGrid>
      <w:tr w:rsidR="00421C9A" w:rsidRPr="00AC6265" w:rsidTr="00977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rPr>
                <w:b w:val="0"/>
              </w:rPr>
            </w:pPr>
            <w:r w:rsidRPr="00AC6265">
              <w:rPr>
                <w:b w:val="0"/>
              </w:rPr>
              <w:t>Gênero</w:t>
            </w:r>
          </w:p>
        </w:tc>
        <w:tc>
          <w:tcPr>
            <w:tcW w:w="3259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6265">
              <w:rPr>
                <w:b w:val="0"/>
              </w:rPr>
              <w:t>Número de Pacientes</w:t>
            </w:r>
          </w:p>
        </w:tc>
        <w:tc>
          <w:tcPr>
            <w:tcW w:w="3260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6265">
              <w:rPr>
                <w:b w:val="0"/>
              </w:rPr>
              <w:t>Porcentagem Simples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rPr>
                <w:b w:val="0"/>
              </w:rPr>
            </w:pPr>
            <w:r w:rsidRPr="00AC6265">
              <w:rPr>
                <w:b w:val="0"/>
              </w:rPr>
              <w:t>Homens</w:t>
            </w:r>
          </w:p>
        </w:tc>
        <w:tc>
          <w:tcPr>
            <w:tcW w:w="3259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65">
              <w:t>10</w:t>
            </w:r>
          </w:p>
        </w:tc>
        <w:tc>
          <w:tcPr>
            <w:tcW w:w="3260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65">
              <w:t>16,7%</w:t>
            </w:r>
          </w:p>
        </w:tc>
      </w:tr>
      <w:tr w:rsidR="00421C9A" w:rsidRPr="00AC6265" w:rsidTr="00977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rPr>
                <w:b w:val="0"/>
              </w:rPr>
            </w:pPr>
            <w:r w:rsidRPr="00AC6265">
              <w:rPr>
                <w:b w:val="0"/>
              </w:rPr>
              <w:t>Mulheres</w:t>
            </w:r>
          </w:p>
        </w:tc>
        <w:tc>
          <w:tcPr>
            <w:tcW w:w="3259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65">
              <w:t>50</w:t>
            </w:r>
          </w:p>
        </w:tc>
        <w:tc>
          <w:tcPr>
            <w:tcW w:w="3260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65">
              <w:t>83,3%</w:t>
            </w:r>
          </w:p>
        </w:tc>
      </w:tr>
      <w:tr w:rsidR="00421C9A" w:rsidRPr="00AC6265" w:rsidTr="009778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421C9A" w:rsidRPr="00AC6265" w:rsidRDefault="00421C9A" w:rsidP="00284ED6">
            <w:pPr>
              <w:pStyle w:val="Padro"/>
              <w:spacing w:line="360" w:lineRule="auto"/>
              <w:jc w:val="center"/>
              <w:rPr>
                <w:b w:val="0"/>
              </w:rPr>
            </w:pPr>
            <w:r w:rsidRPr="00AC6265">
              <w:rPr>
                <w:b w:val="0"/>
              </w:rPr>
              <w:t>Total Simples</w:t>
            </w:r>
          </w:p>
        </w:tc>
        <w:tc>
          <w:tcPr>
            <w:tcW w:w="3259" w:type="dxa"/>
          </w:tcPr>
          <w:p w:rsidR="00421C9A" w:rsidRPr="0017785E" w:rsidRDefault="00421C9A" w:rsidP="00284ED6">
            <w:pPr>
              <w:pStyle w:val="Padro"/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85E">
              <w:rPr>
                <w:b w:val="0"/>
              </w:rPr>
              <w:t>60</w:t>
            </w:r>
          </w:p>
        </w:tc>
        <w:tc>
          <w:tcPr>
            <w:tcW w:w="3260" w:type="dxa"/>
          </w:tcPr>
          <w:p w:rsidR="00421C9A" w:rsidRPr="0017785E" w:rsidRDefault="00421C9A" w:rsidP="00284ED6">
            <w:pPr>
              <w:pStyle w:val="Padro"/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85E">
              <w:rPr>
                <w:b w:val="0"/>
              </w:rPr>
              <w:t>100,0%</w:t>
            </w:r>
          </w:p>
        </w:tc>
      </w:tr>
    </w:tbl>
    <w:p w:rsidR="00F927C6" w:rsidRPr="00F927C6" w:rsidRDefault="00F927C6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Os autores (2016</w:t>
      </w:r>
      <w:r w:rsidRPr="00F927C6">
        <w:rPr>
          <w:rFonts w:ascii="Times New Roman" w:hAnsi="Times New Roman" w:cs="Times New Roman"/>
          <w:sz w:val="24"/>
          <w:szCs w:val="24"/>
        </w:rPr>
        <w:t>)</w:t>
      </w: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421C9A" w:rsidRPr="00421C9A" w:rsidRDefault="0017785E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2</w:t>
      </w:r>
      <w:r w:rsidR="00421C9A" w:rsidRPr="00421C9A">
        <w:rPr>
          <w:rFonts w:ascii="Times New Roman" w:hAnsi="Times New Roman" w:cs="Times New Roman"/>
          <w:sz w:val="24"/>
          <w:szCs w:val="24"/>
        </w:rPr>
        <w:t>: Frequência de pacientes com DTM de acordo com o diagnóstico do RDC/TMD.</w:t>
      </w:r>
    </w:p>
    <w:tbl>
      <w:tblPr>
        <w:tblStyle w:val="SombreamentoClaro"/>
        <w:tblW w:w="4338" w:type="dxa"/>
        <w:tblLook w:val="04A0" w:firstRow="1" w:lastRow="0" w:firstColumn="1" w:lastColumn="0" w:noHBand="0" w:noVBand="1"/>
      </w:tblPr>
      <w:tblGrid>
        <w:gridCol w:w="1589"/>
        <w:gridCol w:w="1589"/>
        <w:gridCol w:w="1123"/>
        <w:gridCol w:w="1469"/>
      </w:tblGrid>
      <w:tr w:rsidR="00421C9A" w:rsidRPr="00AC6265" w:rsidTr="00977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  <w:r w:rsidRPr="00F46445">
              <w:rPr>
                <w:b w:val="0"/>
              </w:rPr>
              <w:t>Grupos</w:t>
            </w: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445">
              <w:rPr>
                <w:b w:val="0"/>
              </w:rPr>
              <w:t>Diagnósticos de acordo com o RDC/TMD</w:t>
            </w:r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445">
              <w:rPr>
                <w:b w:val="0"/>
              </w:rPr>
              <w:t>Número de Pacientes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445">
              <w:rPr>
                <w:b w:val="0"/>
              </w:rPr>
              <w:t>Porcentagem Simples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  <w:r w:rsidRPr="00F46445">
              <w:rPr>
                <w:b w:val="0"/>
              </w:rPr>
              <w:t>Grupo I: Diagnósticos Musculares</w:t>
            </w: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Dor miofascial</w:t>
            </w:r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35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58,3%</w:t>
            </w:r>
          </w:p>
        </w:tc>
      </w:tr>
      <w:tr w:rsidR="00421C9A" w:rsidRPr="00AC6265" w:rsidTr="009778E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Dor miofascial com limitação de abertura bucal</w:t>
            </w:r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21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35%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  <w:r w:rsidRPr="00F46445">
              <w:rPr>
                <w:b w:val="0"/>
              </w:rPr>
              <w:t>Grupo II: Deslocamento de disco</w:t>
            </w: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Deslocamento de disco com redução</w:t>
            </w:r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26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43,3%</w:t>
            </w:r>
          </w:p>
        </w:tc>
      </w:tr>
      <w:tr w:rsidR="00421C9A" w:rsidRPr="00AC6265" w:rsidTr="009778E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Deslocamento de disco sem redução sem limitação de abertura bucal</w:t>
            </w:r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02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3,3%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Deslocamento de disco sem redução com limitação de abertura bucal</w:t>
            </w:r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00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0,00%</w:t>
            </w:r>
          </w:p>
        </w:tc>
      </w:tr>
      <w:tr w:rsidR="00421C9A" w:rsidRPr="00AC6265" w:rsidTr="009778E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  <w:r w:rsidRPr="00F46445">
              <w:rPr>
                <w:b w:val="0"/>
              </w:rPr>
              <w:t xml:space="preserve">Grupo III: </w:t>
            </w:r>
            <w:proofErr w:type="spellStart"/>
            <w:r w:rsidRPr="00F46445">
              <w:rPr>
                <w:b w:val="0"/>
              </w:rPr>
              <w:t>Artralgia</w:t>
            </w:r>
            <w:proofErr w:type="spellEnd"/>
            <w:r w:rsidRPr="00F46445">
              <w:rPr>
                <w:b w:val="0"/>
              </w:rPr>
              <w:t xml:space="preserve">, </w:t>
            </w:r>
            <w:proofErr w:type="spellStart"/>
            <w:r w:rsidRPr="00F46445">
              <w:rPr>
                <w:b w:val="0"/>
              </w:rPr>
              <w:t>Osteoartrite</w:t>
            </w:r>
            <w:proofErr w:type="spellEnd"/>
            <w:r w:rsidRPr="00F46445">
              <w:rPr>
                <w:b w:val="0"/>
              </w:rPr>
              <w:t xml:space="preserve"> e </w:t>
            </w:r>
            <w:proofErr w:type="spellStart"/>
            <w:proofErr w:type="gramStart"/>
            <w:r w:rsidRPr="00F46445">
              <w:rPr>
                <w:b w:val="0"/>
              </w:rPr>
              <w:t>Osteoartrose</w:t>
            </w:r>
            <w:proofErr w:type="spellEnd"/>
            <w:proofErr w:type="gramEnd"/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46445">
              <w:t>Artralgia</w:t>
            </w:r>
            <w:proofErr w:type="spellEnd"/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31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51,67%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46445">
              <w:t>Osteoartrite</w:t>
            </w:r>
            <w:proofErr w:type="spellEnd"/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04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6,67%</w:t>
            </w:r>
          </w:p>
        </w:tc>
      </w:tr>
      <w:tr w:rsidR="00421C9A" w:rsidRPr="00AC6265" w:rsidTr="009778E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</w:p>
        </w:tc>
        <w:tc>
          <w:tcPr>
            <w:tcW w:w="4043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46445">
              <w:t>Osteoartrose</w:t>
            </w:r>
            <w:proofErr w:type="spellEnd"/>
          </w:p>
        </w:tc>
        <w:tc>
          <w:tcPr>
            <w:tcW w:w="164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00</w:t>
            </w:r>
          </w:p>
        </w:tc>
        <w:tc>
          <w:tcPr>
            <w:tcW w:w="1644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0,00%</w:t>
            </w:r>
          </w:p>
        </w:tc>
      </w:tr>
    </w:tbl>
    <w:p w:rsidR="00284ED6" w:rsidRDefault="00F927C6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27C6">
        <w:rPr>
          <w:rFonts w:ascii="Times New Roman" w:hAnsi="Times New Roman" w:cs="Times New Roman"/>
          <w:sz w:val="24"/>
          <w:szCs w:val="24"/>
        </w:rPr>
        <w:t>Fonte: Os autores (2016)</w:t>
      </w:r>
    </w:p>
    <w:p w:rsidR="00284ED6" w:rsidRDefault="00284ED6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C9A" w:rsidRPr="0017785E" w:rsidRDefault="0017785E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3</w:t>
      </w:r>
      <w:r w:rsidR="00421C9A" w:rsidRPr="0017785E">
        <w:rPr>
          <w:rFonts w:ascii="Times New Roman" w:hAnsi="Times New Roman" w:cs="Times New Roman"/>
          <w:sz w:val="24"/>
          <w:szCs w:val="24"/>
        </w:rPr>
        <w:t>: Frequência do número de pacientes com DTM de acordo com o tempo de dor.</w:t>
      </w:r>
    </w:p>
    <w:tbl>
      <w:tblPr>
        <w:tblStyle w:val="SombreamentoClaro"/>
        <w:tblpPr w:leftFromText="141" w:rightFromText="141" w:vertAnchor="text" w:horzAnchor="margin" w:tblpY="119"/>
        <w:tblW w:w="6357" w:type="dxa"/>
        <w:tblLook w:val="04A0" w:firstRow="1" w:lastRow="0" w:firstColumn="1" w:lastColumn="0" w:noHBand="0" w:noVBand="1"/>
      </w:tblPr>
      <w:tblGrid>
        <w:gridCol w:w="3378"/>
        <w:gridCol w:w="1292"/>
        <w:gridCol w:w="1687"/>
      </w:tblGrid>
      <w:tr w:rsidR="00421C9A" w:rsidRPr="00AC6265" w:rsidTr="00977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rPr>
                <w:b w:val="0"/>
              </w:rPr>
            </w:pPr>
            <w:r w:rsidRPr="00F46445">
              <w:rPr>
                <w:b w:val="0"/>
              </w:rPr>
              <w:t>Tempo de Dor</w:t>
            </w:r>
          </w:p>
        </w:tc>
        <w:tc>
          <w:tcPr>
            <w:tcW w:w="1292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445">
              <w:rPr>
                <w:b w:val="0"/>
              </w:rPr>
              <w:t>Número de pacientes</w:t>
            </w:r>
          </w:p>
        </w:tc>
        <w:tc>
          <w:tcPr>
            <w:tcW w:w="168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445">
              <w:rPr>
                <w:b w:val="0"/>
              </w:rPr>
              <w:t>Porcentagem Simples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rPr>
                <w:b w:val="0"/>
              </w:rPr>
            </w:pPr>
            <w:r w:rsidRPr="00F46445">
              <w:rPr>
                <w:b w:val="0"/>
              </w:rPr>
              <w:t>Aguda</w:t>
            </w:r>
          </w:p>
        </w:tc>
        <w:tc>
          <w:tcPr>
            <w:tcW w:w="1292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09</w:t>
            </w:r>
          </w:p>
        </w:tc>
        <w:tc>
          <w:tcPr>
            <w:tcW w:w="168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15%</w:t>
            </w:r>
          </w:p>
        </w:tc>
      </w:tr>
      <w:tr w:rsidR="00421C9A" w:rsidRPr="00AC6265" w:rsidTr="00977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21C9A" w:rsidRPr="00F46445" w:rsidRDefault="00F76265" w:rsidP="00284ED6">
            <w:pPr>
              <w:pStyle w:val="NormalWeb"/>
              <w:spacing w:before="28" w:after="28" w:line="360" w:lineRule="auto"/>
              <w:ind w:left="-2268"/>
              <w:rPr>
                <w:b w:val="0"/>
              </w:rPr>
            </w:pPr>
            <w:r>
              <w:rPr>
                <w:b w:val="0"/>
              </w:rPr>
              <w:t xml:space="preserve">                                      </w:t>
            </w:r>
            <w:r w:rsidR="00421C9A" w:rsidRPr="00F46445">
              <w:rPr>
                <w:b w:val="0"/>
              </w:rPr>
              <w:t>Crônica</w:t>
            </w:r>
          </w:p>
        </w:tc>
        <w:tc>
          <w:tcPr>
            <w:tcW w:w="1292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51</w:t>
            </w:r>
          </w:p>
        </w:tc>
        <w:tc>
          <w:tcPr>
            <w:tcW w:w="168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445">
              <w:t>85%</w:t>
            </w:r>
          </w:p>
        </w:tc>
      </w:tr>
      <w:tr w:rsidR="00421C9A" w:rsidRPr="00AC6265" w:rsidTr="00977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rPr>
                <w:b w:val="0"/>
              </w:rPr>
            </w:pPr>
            <w:r w:rsidRPr="00F46445">
              <w:rPr>
                <w:b w:val="0"/>
              </w:rPr>
              <w:t>Total simples</w:t>
            </w:r>
          </w:p>
        </w:tc>
        <w:tc>
          <w:tcPr>
            <w:tcW w:w="1292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60</w:t>
            </w:r>
          </w:p>
        </w:tc>
        <w:tc>
          <w:tcPr>
            <w:tcW w:w="1687" w:type="dxa"/>
          </w:tcPr>
          <w:p w:rsidR="00421C9A" w:rsidRPr="00F46445" w:rsidRDefault="00421C9A" w:rsidP="00284ED6">
            <w:pPr>
              <w:pStyle w:val="NormalWeb"/>
              <w:spacing w:before="28" w:after="28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445">
              <w:t>100,0%</w:t>
            </w:r>
          </w:p>
        </w:tc>
      </w:tr>
    </w:tbl>
    <w:p w:rsidR="00421C9A" w:rsidRDefault="00421C9A" w:rsidP="00284ED6">
      <w:pPr>
        <w:spacing w:line="360" w:lineRule="auto"/>
      </w:pPr>
    </w:p>
    <w:p w:rsidR="00421C9A" w:rsidRDefault="00421C9A" w:rsidP="00284ED6">
      <w:pPr>
        <w:spacing w:line="360" w:lineRule="auto"/>
      </w:pPr>
    </w:p>
    <w:p w:rsidR="00F927C6" w:rsidRDefault="00F927C6" w:rsidP="00284ED6">
      <w:pPr>
        <w:spacing w:line="360" w:lineRule="auto"/>
      </w:pPr>
    </w:p>
    <w:p w:rsidR="00F927C6" w:rsidRDefault="00F927C6" w:rsidP="00284ED6">
      <w:pPr>
        <w:spacing w:line="360" w:lineRule="auto"/>
      </w:pPr>
    </w:p>
    <w:p w:rsidR="00284ED6" w:rsidRDefault="00284ED6" w:rsidP="00284ED6">
      <w:pPr>
        <w:spacing w:line="360" w:lineRule="auto"/>
      </w:pPr>
    </w:p>
    <w:p w:rsidR="00F927C6" w:rsidRPr="00F927C6" w:rsidRDefault="00F927C6" w:rsidP="00284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Fonte: Os autores (2016)</w:t>
      </w:r>
    </w:p>
    <w:sectPr w:rsidR="00F927C6" w:rsidRPr="00F92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9A"/>
    <w:rsid w:val="0017785E"/>
    <w:rsid w:val="00284ED6"/>
    <w:rsid w:val="00421C9A"/>
    <w:rsid w:val="00605269"/>
    <w:rsid w:val="009778E1"/>
    <w:rsid w:val="00EB1AE0"/>
    <w:rsid w:val="00F76265"/>
    <w:rsid w:val="00F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21C9A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421C9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Padro"/>
    <w:rsid w:val="00421C9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21C9A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421C9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Padro"/>
    <w:rsid w:val="00421C9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5</cp:revision>
  <dcterms:created xsi:type="dcterms:W3CDTF">2015-12-30T01:15:00Z</dcterms:created>
  <dcterms:modified xsi:type="dcterms:W3CDTF">2016-01-02T20:30:00Z</dcterms:modified>
</cp:coreProperties>
</file>