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CDE" w:rsidRDefault="00402E82" w:rsidP="00DE6D90">
      <w:pPr>
        <w:spacing w:line="480" w:lineRule="auto"/>
        <w:jc w:val="center"/>
        <w:rPr>
          <w:rFonts w:ascii="Times New Roman" w:hAnsi="Times New Roman" w:cs="Times New Roman"/>
          <w:b/>
          <w:bCs/>
          <w:sz w:val="24"/>
          <w:szCs w:val="24"/>
        </w:rPr>
      </w:pPr>
      <w:r w:rsidRPr="00DE6D90">
        <w:rPr>
          <w:rFonts w:ascii="Times New Roman" w:hAnsi="Times New Roman" w:cs="Times New Roman"/>
          <w:b/>
          <w:bCs/>
          <w:sz w:val="24"/>
          <w:szCs w:val="24"/>
        </w:rPr>
        <w:t xml:space="preserve">Avaliação da associação entre a síndrome do ovário policístico, </w:t>
      </w:r>
      <w:r>
        <w:rPr>
          <w:rFonts w:ascii="Times New Roman" w:hAnsi="Times New Roman" w:cs="Times New Roman"/>
          <w:b/>
          <w:bCs/>
          <w:sz w:val="24"/>
          <w:szCs w:val="24"/>
        </w:rPr>
        <w:t>d</w:t>
      </w:r>
      <w:r w:rsidRPr="00DE6D90">
        <w:rPr>
          <w:rFonts w:ascii="Times New Roman" w:hAnsi="Times New Roman" w:cs="Times New Roman"/>
          <w:b/>
          <w:bCs/>
          <w:sz w:val="24"/>
          <w:szCs w:val="24"/>
        </w:rPr>
        <w:t xml:space="preserve">esordens </w:t>
      </w:r>
      <w:proofErr w:type="spellStart"/>
      <w:r w:rsidRPr="00DE6D90">
        <w:rPr>
          <w:rFonts w:ascii="Times New Roman" w:hAnsi="Times New Roman" w:cs="Times New Roman"/>
          <w:b/>
          <w:bCs/>
          <w:sz w:val="24"/>
          <w:szCs w:val="24"/>
        </w:rPr>
        <w:t>temporomandibulares</w:t>
      </w:r>
      <w:proofErr w:type="spellEnd"/>
      <w:r w:rsidRPr="00DE6D90">
        <w:rPr>
          <w:rFonts w:ascii="Times New Roman" w:hAnsi="Times New Roman" w:cs="Times New Roman"/>
          <w:b/>
          <w:bCs/>
          <w:sz w:val="24"/>
          <w:szCs w:val="24"/>
        </w:rPr>
        <w:t xml:space="preserve"> e fatores psicossociais em mulheres</w:t>
      </w:r>
    </w:p>
    <w:p w:rsidR="00B56B46" w:rsidRPr="00B56B46" w:rsidRDefault="00B56B46" w:rsidP="00DE6D90">
      <w:pPr>
        <w:spacing w:line="480" w:lineRule="auto"/>
        <w:jc w:val="center"/>
        <w:rPr>
          <w:rFonts w:ascii="Times New Roman" w:hAnsi="Times New Roman" w:cs="Times New Roman"/>
          <w:bCs/>
          <w:sz w:val="24"/>
          <w:szCs w:val="24"/>
        </w:rPr>
      </w:pPr>
    </w:p>
    <w:p w:rsidR="00067CDE" w:rsidRPr="00DE6D90" w:rsidRDefault="00067CDE" w:rsidP="00DE6D90">
      <w:pPr>
        <w:spacing w:line="480" w:lineRule="auto"/>
        <w:rPr>
          <w:rFonts w:ascii="Times New Roman" w:hAnsi="Times New Roman" w:cs="Times New Roman"/>
          <w:b/>
          <w:bCs/>
          <w:sz w:val="24"/>
          <w:szCs w:val="24"/>
        </w:rPr>
      </w:pPr>
      <w:r w:rsidRPr="00DE6D90">
        <w:rPr>
          <w:rFonts w:ascii="Times New Roman" w:hAnsi="Times New Roman" w:cs="Times New Roman"/>
          <w:b/>
          <w:bCs/>
          <w:sz w:val="24"/>
          <w:szCs w:val="24"/>
        </w:rPr>
        <w:t>RESUMO</w:t>
      </w:r>
    </w:p>
    <w:p w:rsidR="00067CDE" w:rsidRPr="00DE6D90" w:rsidRDefault="00A70206" w:rsidP="00B56B46">
      <w:pPr>
        <w:autoSpaceDE w:val="0"/>
        <w:autoSpaceDN w:val="0"/>
        <w:adjustRightInd w:val="0"/>
        <w:spacing w:after="0" w:line="480" w:lineRule="auto"/>
        <w:jc w:val="both"/>
        <w:rPr>
          <w:rFonts w:ascii="Times New Roman" w:hAnsi="Times New Roman" w:cs="Times New Roman"/>
          <w:sz w:val="24"/>
          <w:szCs w:val="24"/>
        </w:rPr>
      </w:pPr>
      <w:r w:rsidRPr="00DE6D90">
        <w:rPr>
          <w:rFonts w:ascii="Times New Roman" w:hAnsi="Times New Roman" w:cs="Times New Roman"/>
          <w:sz w:val="24"/>
          <w:szCs w:val="24"/>
        </w:rPr>
        <w:t>Frequentemente a</w:t>
      </w:r>
      <w:r w:rsidR="00067CDE" w:rsidRPr="00DE6D90">
        <w:rPr>
          <w:rFonts w:ascii="Times New Roman" w:hAnsi="Times New Roman" w:cs="Times New Roman"/>
          <w:sz w:val="24"/>
          <w:szCs w:val="24"/>
        </w:rPr>
        <w:t xml:space="preserve">lterações hormonais locais e sistêmicas </w:t>
      </w:r>
      <w:r w:rsidR="00107E12">
        <w:rPr>
          <w:rFonts w:ascii="Times New Roman" w:hAnsi="Times New Roman" w:cs="Times New Roman"/>
          <w:sz w:val="24"/>
          <w:szCs w:val="24"/>
        </w:rPr>
        <w:t xml:space="preserve">em mulheres </w:t>
      </w:r>
      <w:r w:rsidR="00067CDE" w:rsidRPr="00DE6D90">
        <w:rPr>
          <w:rFonts w:ascii="Times New Roman" w:hAnsi="Times New Roman" w:cs="Times New Roman"/>
          <w:sz w:val="24"/>
          <w:szCs w:val="24"/>
        </w:rPr>
        <w:t>são oriundas da Síndrome do Ovário Policístico (SOP) e parecem acarretar</w:t>
      </w:r>
      <w:r w:rsidR="00067CDE" w:rsidRPr="00DE6D90">
        <w:rPr>
          <w:rFonts w:ascii="Times New Roman" w:hAnsi="Times New Roman" w:cs="Times New Roman"/>
          <w:color w:val="FF0000"/>
          <w:sz w:val="24"/>
          <w:szCs w:val="24"/>
        </w:rPr>
        <w:t xml:space="preserve"> </w:t>
      </w:r>
      <w:r w:rsidR="00067CDE" w:rsidRPr="00DE6D90">
        <w:rPr>
          <w:rFonts w:ascii="Times New Roman" w:hAnsi="Times New Roman" w:cs="Times New Roman"/>
          <w:sz w:val="24"/>
          <w:szCs w:val="24"/>
        </w:rPr>
        <w:t xml:space="preserve">prejuízos às estruturas orofaciais, incluindo as desordens </w:t>
      </w:r>
      <w:proofErr w:type="spellStart"/>
      <w:r w:rsidR="00067CDE" w:rsidRPr="00DE6D90">
        <w:rPr>
          <w:rFonts w:ascii="Times New Roman" w:hAnsi="Times New Roman" w:cs="Times New Roman"/>
          <w:sz w:val="24"/>
          <w:szCs w:val="24"/>
        </w:rPr>
        <w:t>temporomandibulares</w:t>
      </w:r>
      <w:proofErr w:type="spellEnd"/>
      <w:r w:rsidR="00067CDE" w:rsidRPr="00DE6D90">
        <w:rPr>
          <w:rFonts w:ascii="Times New Roman" w:hAnsi="Times New Roman" w:cs="Times New Roman"/>
          <w:sz w:val="24"/>
          <w:szCs w:val="24"/>
        </w:rPr>
        <w:t xml:space="preserve"> (DTM) e suas repercussões psicossociais. O objetivo deste estudo foi avaliar a prevalência de DTM em mulheres com SOP, além de avaliar o impacto da dor orofacial na manifestação de sintomas </w:t>
      </w:r>
      <w:r w:rsidR="0079200C">
        <w:rPr>
          <w:rFonts w:ascii="Times New Roman" w:hAnsi="Times New Roman" w:cs="Times New Roman"/>
          <w:sz w:val="24"/>
          <w:szCs w:val="24"/>
        </w:rPr>
        <w:t xml:space="preserve">físicos </w:t>
      </w:r>
      <w:r w:rsidR="00067CDE" w:rsidRPr="00DE6D90">
        <w:rPr>
          <w:rFonts w:ascii="Times New Roman" w:hAnsi="Times New Roman" w:cs="Times New Roman"/>
          <w:sz w:val="24"/>
          <w:szCs w:val="24"/>
        </w:rPr>
        <w:t xml:space="preserve">inespecíficos </w:t>
      </w:r>
      <w:r w:rsidR="0079200C">
        <w:rPr>
          <w:rFonts w:ascii="Times New Roman" w:hAnsi="Times New Roman" w:cs="Times New Roman"/>
          <w:sz w:val="24"/>
          <w:szCs w:val="24"/>
        </w:rPr>
        <w:t xml:space="preserve">(incluindo e excluindo dor) </w:t>
      </w:r>
      <w:r w:rsidR="00067CDE" w:rsidRPr="00DE6D90">
        <w:rPr>
          <w:rFonts w:ascii="Times New Roman" w:hAnsi="Times New Roman" w:cs="Times New Roman"/>
          <w:sz w:val="24"/>
          <w:szCs w:val="24"/>
        </w:rPr>
        <w:t xml:space="preserve">e de depressão. </w:t>
      </w:r>
      <w:r w:rsidR="00361341">
        <w:rPr>
          <w:rFonts w:ascii="Times New Roman" w:hAnsi="Times New Roman" w:cs="Times New Roman"/>
          <w:sz w:val="24"/>
          <w:szCs w:val="24"/>
        </w:rPr>
        <w:t xml:space="preserve">Para isso, foi utilizado o </w:t>
      </w:r>
      <w:r w:rsidR="00361341" w:rsidRPr="00361341">
        <w:rPr>
          <w:rFonts w:ascii="Times New Roman" w:hAnsi="Times New Roman" w:cs="Times New Roman"/>
          <w:sz w:val="24"/>
          <w:szCs w:val="24"/>
        </w:rPr>
        <w:t>Critério de Diagnóstico para</w:t>
      </w:r>
      <w:r w:rsidR="00361341">
        <w:rPr>
          <w:rFonts w:ascii="Times New Roman" w:hAnsi="Times New Roman" w:cs="Times New Roman"/>
          <w:sz w:val="24"/>
          <w:szCs w:val="24"/>
        </w:rPr>
        <w:t xml:space="preserve"> </w:t>
      </w:r>
      <w:r w:rsidR="00361341" w:rsidRPr="00361341">
        <w:rPr>
          <w:rFonts w:ascii="Times New Roman" w:hAnsi="Times New Roman" w:cs="Times New Roman"/>
          <w:sz w:val="24"/>
          <w:szCs w:val="24"/>
        </w:rPr>
        <w:t>Pesquisa das Desordens</w:t>
      </w:r>
      <w:r w:rsidR="00361341">
        <w:rPr>
          <w:rFonts w:ascii="Times New Roman" w:hAnsi="Times New Roman" w:cs="Times New Roman"/>
          <w:sz w:val="24"/>
          <w:szCs w:val="24"/>
        </w:rPr>
        <w:t xml:space="preserve"> </w:t>
      </w:r>
      <w:proofErr w:type="spellStart"/>
      <w:r w:rsidR="00361341" w:rsidRPr="00361341">
        <w:rPr>
          <w:rFonts w:ascii="Times New Roman" w:hAnsi="Times New Roman" w:cs="Times New Roman"/>
          <w:sz w:val="24"/>
          <w:szCs w:val="24"/>
        </w:rPr>
        <w:t>Temporomandibulares</w:t>
      </w:r>
      <w:proofErr w:type="spellEnd"/>
      <w:r w:rsidR="00361341">
        <w:rPr>
          <w:rFonts w:ascii="Times New Roman" w:hAnsi="Times New Roman" w:cs="Times New Roman"/>
          <w:sz w:val="24"/>
          <w:szCs w:val="24"/>
        </w:rPr>
        <w:t xml:space="preserve"> (Eixos I e II). </w:t>
      </w:r>
      <w:r w:rsidR="00361341" w:rsidRPr="00DE6D90">
        <w:rPr>
          <w:rFonts w:ascii="Times New Roman" w:hAnsi="Times New Roman" w:cs="Times New Roman"/>
          <w:sz w:val="24"/>
          <w:szCs w:val="24"/>
        </w:rPr>
        <w:t xml:space="preserve">A análise e a interpretação dos dados foram feitas utilizando o </w:t>
      </w:r>
      <w:r w:rsidR="00361341" w:rsidRPr="00DE6D90">
        <w:rPr>
          <w:rFonts w:ascii="Times New Roman" w:hAnsi="Times New Roman" w:cs="Times New Roman"/>
          <w:i/>
          <w:sz w:val="24"/>
          <w:szCs w:val="24"/>
        </w:rPr>
        <w:t>software SPSS for Windows</w:t>
      </w:r>
      <w:r w:rsidR="00361341" w:rsidRPr="00DE6D90">
        <w:rPr>
          <w:rFonts w:ascii="Times New Roman" w:hAnsi="Times New Roman" w:cs="Times New Roman"/>
          <w:sz w:val="24"/>
          <w:szCs w:val="24"/>
        </w:rPr>
        <w:t xml:space="preserve"> 14.0 e organizados no formato de tabelas, e a estatística foi a inferencial, apresentadas com médias e porcentagens. </w:t>
      </w:r>
      <w:r w:rsidR="00067CDE" w:rsidRPr="00DE6D90">
        <w:rPr>
          <w:rFonts w:ascii="Times New Roman" w:hAnsi="Times New Roman" w:cs="Times New Roman"/>
          <w:sz w:val="24"/>
          <w:szCs w:val="24"/>
        </w:rPr>
        <w:t xml:space="preserve">Entre 37 mulheres com SOP, 56,8% apresentavam DTM, sendo 16,1% com manifestação </w:t>
      </w:r>
      <w:proofErr w:type="spellStart"/>
      <w:r w:rsidR="00067CDE" w:rsidRPr="00DE6D90">
        <w:rPr>
          <w:rFonts w:ascii="Times New Roman" w:hAnsi="Times New Roman" w:cs="Times New Roman"/>
          <w:sz w:val="24"/>
          <w:szCs w:val="24"/>
        </w:rPr>
        <w:t>miofascial</w:t>
      </w:r>
      <w:proofErr w:type="spellEnd"/>
      <w:r w:rsidR="00067CDE" w:rsidRPr="00DE6D90">
        <w:rPr>
          <w:rFonts w:ascii="Times New Roman" w:hAnsi="Times New Roman" w:cs="Times New Roman"/>
          <w:sz w:val="24"/>
          <w:szCs w:val="24"/>
        </w:rPr>
        <w:t xml:space="preserve">. Os sintomas depressivos estavam presentes em 28,6% das pacientes com DTM e SOP em nível </w:t>
      </w:r>
      <w:proofErr w:type="gramStart"/>
      <w:r w:rsidR="00067CDE" w:rsidRPr="00DE6D90">
        <w:rPr>
          <w:rFonts w:ascii="Times New Roman" w:hAnsi="Times New Roman" w:cs="Times New Roman"/>
          <w:sz w:val="24"/>
          <w:szCs w:val="24"/>
        </w:rPr>
        <w:t>moderado</w:t>
      </w:r>
      <w:proofErr w:type="gramEnd"/>
      <w:r w:rsidR="00067CDE" w:rsidRPr="00DE6D90">
        <w:rPr>
          <w:rFonts w:ascii="Times New Roman" w:hAnsi="Times New Roman" w:cs="Times New Roman"/>
          <w:sz w:val="24"/>
          <w:szCs w:val="24"/>
        </w:rPr>
        <w:t xml:space="preserve"> e 33,3% em nível severo. Sintomas físicos inespecíficos de nível severo estavam presentes em 52,4% das mulheres com DTM e SOP. Fatores hormonais inerentes à SOP e os níveis acentuados de sintomas inespecíficos e de depressão parecem influenciar na </w:t>
      </w:r>
      <w:proofErr w:type="spellStart"/>
      <w:r w:rsidR="00067CDE" w:rsidRPr="00DE6D90">
        <w:rPr>
          <w:rFonts w:ascii="Times New Roman" w:hAnsi="Times New Roman" w:cs="Times New Roman"/>
          <w:sz w:val="24"/>
          <w:szCs w:val="24"/>
        </w:rPr>
        <w:t>cronificação</w:t>
      </w:r>
      <w:proofErr w:type="spellEnd"/>
      <w:r w:rsidR="00067CDE" w:rsidRPr="00DE6D90">
        <w:rPr>
          <w:rFonts w:ascii="Times New Roman" w:hAnsi="Times New Roman" w:cs="Times New Roman"/>
          <w:sz w:val="24"/>
          <w:szCs w:val="24"/>
        </w:rPr>
        <w:t xml:space="preserve"> álgica relacionada à DTM.</w:t>
      </w:r>
    </w:p>
    <w:p w:rsidR="00067CDE" w:rsidRPr="00DE6D90" w:rsidRDefault="00067CDE" w:rsidP="00DE6D90">
      <w:pPr>
        <w:spacing w:line="480" w:lineRule="auto"/>
        <w:jc w:val="both"/>
        <w:rPr>
          <w:rFonts w:ascii="Times New Roman" w:hAnsi="Times New Roman" w:cs="Times New Roman"/>
          <w:sz w:val="24"/>
          <w:szCs w:val="24"/>
        </w:rPr>
      </w:pPr>
      <w:r w:rsidRPr="00DE6D90">
        <w:rPr>
          <w:rFonts w:ascii="Times New Roman" w:hAnsi="Times New Roman" w:cs="Times New Roman"/>
          <w:b/>
          <w:bCs/>
          <w:sz w:val="24"/>
          <w:szCs w:val="24"/>
        </w:rPr>
        <w:t>Palavras-chave:</w:t>
      </w:r>
      <w:r w:rsidR="00852C3A">
        <w:rPr>
          <w:rFonts w:ascii="Times New Roman" w:hAnsi="Times New Roman" w:cs="Times New Roman"/>
          <w:b/>
          <w:bCs/>
          <w:sz w:val="24"/>
          <w:szCs w:val="24"/>
        </w:rPr>
        <w:t xml:space="preserve"> </w:t>
      </w:r>
      <w:r w:rsidRPr="00DE6D90">
        <w:rPr>
          <w:rFonts w:ascii="Times New Roman" w:hAnsi="Times New Roman" w:cs="Times New Roman"/>
          <w:sz w:val="24"/>
          <w:szCs w:val="24"/>
        </w:rPr>
        <w:t>Transtornos d</w:t>
      </w:r>
      <w:r w:rsidR="00361341">
        <w:rPr>
          <w:rFonts w:ascii="Times New Roman" w:hAnsi="Times New Roman" w:cs="Times New Roman"/>
          <w:sz w:val="24"/>
          <w:szCs w:val="24"/>
        </w:rPr>
        <w:t xml:space="preserve">a articulação </w:t>
      </w:r>
      <w:proofErr w:type="spellStart"/>
      <w:r w:rsidR="00361341">
        <w:rPr>
          <w:rFonts w:ascii="Times New Roman" w:hAnsi="Times New Roman" w:cs="Times New Roman"/>
          <w:sz w:val="24"/>
          <w:szCs w:val="24"/>
        </w:rPr>
        <w:t>temporomandibular</w:t>
      </w:r>
      <w:proofErr w:type="spellEnd"/>
      <w:r w:rsidR="00361341">
        <w:rPr>
          <w:rFonts w:ascii="Times New Roman" w:hAnsi="Times New Roman" w:cs="Times New Roman"/>
          <w:sz w:val="24"/>
          <w:szCs w:val="24"/>
        </w:rPr>
        <w:t>.</w:t>
      </w:r>
      <w:r w:rsidRPr="00DE6D90">
        <w:rPr>
          <w:rFonts w:ascii="Times New Roman" w:hAnsi="Times New Roman" w:cs="Times New Roman"/>
          <w:sz w:val="24"/>
          <w:szCs w:val="24"/>
        </w:rPr>
        <w:t xml:space="preserve"> Síndrome </w:t>
      </w:r>
      <w:r w:rsidR="00361341">
        <w:rPr>
          <w:rFonts w:ascii="Times New Roman" w:hAnsi="Times New Roman" w:cs="Times New Roman"/>
          <w:sz w:val="24"/>
          <w:szCs w:val="24"/>
        </w:rPr>
        <w:t>d</w:t>
      </w:r>
      <w:r w:rsidRPr="00DE6D90">
        <w:rPr>
          <w:rFonts w:ascii="Times New Roman" w:hAnsi="Times New Roman" w:cs="Times New Roman"/>
          <w:sz w:val="24"/>
          <w:szCs w:val="24"/>
        </w:rPr>
        <w:t>o ovário policístico</w:t>
      </w:r>
      <w:r w:rsidR="00361341">
        <w:rPr>
          <w:rFonts w:ascii="Times New Roman" w:hAnsi="Times New Roman" w:cs="Times New Roman"/>
          <w:sz w:val="24"/>
          <w:szCs w:val="24"/>
        </w:rPr>
        <w:t>.</w:t>
      </w:r>
      <w:r w:rsidRPr="00DE6D90">
        <w:rPr>
          <w:rFonts w:ascii="Times New Roman" w:hAnsi="Times New Roman" w:cs="Times New Roman"/>
          <w:sz w:val="24"/>
          <w:szCs w:val="24"/>
        </w:rPr>
        <w:t xml:space="preserve"> Dor facial</w:t>
      </w:r>
      <w:r w:rsidR="00361341">
        <w:rPr>
          <w:rFonts w:ascii="Times New Roman" w:hAnsi="Times New Roman" w:cs="Times New Roman"/>
          <w:sz w:val="24"/>
          <w:szCs w:val="24"/>
        </w:rPr>
        <w:t>.</w:t>
      </w:r>
      <w:r w:rsidRPr="00DE6D90">
        <w:rPr>
          <w:rFonts w:ascii="Times New Roman" w:hAnsi="Times New Roman" w:cs="Times New Roman"/>
          <w:sz w:val="24"/>
          <w:szCs w:val="24"/>
        </w:rPr>
        <w:t xml:space="preserve"> Inflamação</w:t>
      </w:r>
      <w:r w:rsidR="00361341">
        <w:rPr>
          <w:rFonts w:ascii="Times New Roman" w:hAnsi="Times New Roman" w:cs="Times New Roman"/>
          <w:sz w:val="24"/>
          <w:szCs w:val="24"/>
        </w:rPr>
        <w:t>.</w:t>
      </w:r>
      <w:r w:rsidRPr="00DE6D90">
        <w:rPr>
          <w:rFonts w:ascii="Times New Roman" w:hAnsi="Times New Roman" w:cs="Times New Roman"/>
          <w:sz w:val="24"/>
          <w:szCs w:val="24"/>
        </w:rPr>
        <w:t xml:space="preserve"> Impacto Psicossocial. </w:t>
      </w:r>
    </w:p>
    <w:p w:rsidR="00B56B46" w:rsidRPr="00D456BB" w:rsidRDefault="00402E82" w:rsidP="00B56B46">
      <w:pPr>
        <w:tabs>
          <w:tab w:val="left" w:pos="900"/>
        </w:tabs>
        <w:suppressAutoHyphens/>
        <w:jc w:val="both"/>
        <w:rPr>
          <w:color w:val="000000"/>
        </w:rPr>
      </w:pPr>
      <w:r w:rsidRPr="00402E82">
        <w:rPr>
          <w:rFonts w:ascii="Times New Roman" w:hAnsi="Times New Roman" w:cs="Times New Roman"/>
          <w:bCs/>
        </w:rPr>
        <w:t>1</w:t>
      </w:r>
      <w:r>
        <w:rPr>
          <w:rFonts w:ascii="Times New Roman" w:hAnsi="Times New Roman" w:cs="Times New Roman"/>
          <w:b/>
          <w:bCs/>
        </w:rPr>
        <w:t xml:space="preserve"> </w:t>
      </w:r>
      <w:r w:rsidR="00067CDE" w:rsidRPr="00DE6D90">
        <w:rPr>
          <w:rFonts w:ascii="Times New Roman" w:hAnsi="Times New Roman" w:cs="Times New Roman"/>
          <w:b/>
          <w:bCs/>
        </w:rPr>
        <w:t>INTRODUÇÃO</w:t>
      </w:r>
      <w:r w:rsidR="00B56B46" w:rsidRPr="00B56B46">
        <w:rPr>
          <w:color w:val="000000"/>
        </w:rPr>
        <w:t xml:space="preserve"> </w:t>
      </w:r>
    </w:p>
    <w:p w:rsidR="00067CDE" w:rsidRPr="00DE6D90" w:rsidRDefault="00067CDE" w:rsidP="00B56B46">
      <w:pPr>
        <w:pStyle w:val="Ttulo2"/>
        <w:tabs>
          <w:tab w:val="left" w:pos="2880"/>
        </w:tabs>
        <w:spacing w:line="480" w:lineRule="auto"/>
        <w:rPr>
          <w:rFonts w:ascii="Times New Roman" w:hAnsi="Times New Roman" w:cs="Times New Roman"/>
          <w:b/>
          <w:bCs/>
        </w:rPr>
      </w:pP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As Desordens </w:t>
      </w:r>
      <w:proofErr w:type="spellStart"/>
      <w:r w:rsidRPr="00DE6D90">
        <w:rPr>
          <w:rFonts w:ascii="Times New Roman" w:hAnsi="Times New Roman" w:cs="Times New Roman"/>
          <w:sz w:val="24"/>
          <w:szCs w:val="24"/>
        </w:rPr>
        <w:t>Temporomandibulares</w:t>
      </w:r>
      <w:proofErr w:type="spellEnd"/>
      <w:r w:rsidRPr="00DE6D90">
        <w:rPr>
          <w:rFonts w:ascii="Times New Roman" w:hAnsi="Times New Roman" w:cs="Times New Roman"/>
          <w:sz w:val="24"/>
          <w:szCs w:val="24"/>
        </w:rPr>
        <w:t xml:space="preserve"> (DTM), caracterizadas por alterações nos músculos mastigatórios e/ou na articulação </w:t>
      </w:r>
      <w:proofErr w:type="spellStart"/>
      <w:r w:rsidRPr="00DE6D90">
        <w:rPr>
          <w:rFonts w:ascii="Times New Roman" w:hAnsi="Times New Roman" w:cs="Times New Roman"/>
          <w:sz w:val="24"/>
          <w:szCs w:val="24"/>
        </w:rPr>
        <w:t>temporomandibular</w:t>
      </w:r>
      <w:proofErr w:type="spellEnd"/>
      <w:r w:rsidRPr="00DE6D90">
        <w:rPr>
          <w:rFonts w:ascii="Times New Roman" w:hAnsi="Times New Roman" w:cs="Times New Roman"/>
          <w:sz w:val="24"/>
          <w:szCs w:val="24"/>
        </w:rPr>
        <w:t xml:space="preserve"> (ATM), vêm apresentando atualmente aumento significativo e constante de sua prevalência na população mundial</w:t>
      </w:r>
      <w:r w:rsidR="002E3904" w:rsidRPr="00DE6D90">
        <w:rPr>
          <w:rFonts w:ascii="Times New Roman" w:hAnsi="Times New Roman" w:cs="Times New Roman"/>
          <w:sz w:val="24"/>
          <w:szCs w:val="24"/>
        </w:rPr>
        <w:t xml:space="preserve"> </w:t>
      </w:r>
      <w:r w:rsidRPr="00832B7E">
        <w:rPr>
          <w:rFonts w:ascii="Times New Roman" w:hAnsi="Times New Roman" w:cs="Times New Roman"/>
          <w:bCs/>
          <w:sz w:val="24"/>
          <w:szCs w:val="24"/>
        </w:rPr>
        <w:t>(BENDER, 2014)</w:t>
      </w:r>
      <w:r w:rsidRPr="00DE6D90">
        <w:rPr>
          <w:rFonts w:ascii="Times New Roman" w:hAnsi="Times New Roman" w:cs="Times New Roman"/>
          <w:sz w:val="24"/>
          <w:szCs w:val="24"/>
        </w:rPr>
        <w:t>.</w:t>
      </w:r>
      <w:r w:rsidR="002E390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Sua complexa </w:t>
      </w:r>
      <w:proofErr w:type="spellStart"/>
      <w:r w:rsidRPr="00DE6D90">
        <w:rPr>
          <w:rFonts w:ascii="Times New Roman" w:hAnsi="Times New Roman" w:cs="Times New Roman"/>
          <w:sz w:val="24"/>
          <w:szCs w:val="24"/>
        </w:rPr>
        <w:t>etiopatogenia</w:t>
      </w:r>
      <w:proofErr w:type="spellEnd"/>
      <w:r w:rsidRPr="00DE6D90">
        <w:rPr>
          <w:rFonts w:ascii="Times New Roman" w:hAnsi="Times New Roman" w:cs="Times New Roman"/>
          <w:sz w:val="24"/>
          <w:szCs w:val="24"/>
        </w:rPr>
        <w:t xml:space="preserve"> e variabilidade de sintomas existentes, tornam difícil a adoção de protocolos diagnósticos e terapêuticos padronizados</w:t>
      </w:r>
      <w:r w:rsidR="002E3904" w:rsidRPr="00DE6D90">
        <w:rPr>
          <w:rFonts w:ascii="Times New Roman" w:hAnsi="Times New Roman" w:cs="Times New Roman"/>
          <w:sz w:val="24"/>
          <w:szCs w:val="24"/>
        </w:rPr>
        <w:t xml:space="preserve"> </w:t>
      </w:r>
      <w:r w:rsidRPr="00832B7E">
        <w:rPr>
          <w:rFonts w:ascii="Times New Roman" w:hAnsi="Times New Roman" w:cs="Times New Roman"/>
          <w:bCs/>
          <w:sz w:val="24"/>
          <w:szCs w:val="24"/>
        </w:rPr>
        <w:t>(KRAMER</w:t>
      </w:r>
      <w:r w:rsidR="00832B7E" w:rsidRPr="00832B7E">
        <w:rPr>
          <w:rFonts w:ascii="Times New Roman" w:hAnsi="Times New Roman" w:cs="Times New Roman"/>
          <w:bCs/>
          <w:sz w:val="24"/>
          <w:szCs w:val="24"/>
        </w:rPr>
        <w:t>;</w:t>
      </w:r>
      <w:r w:rsidRPr="00832B7E">
        <w:rPr>
          <w:rFonts w:ascii="Times New Roman" w:hAnsi="Times New Roman" w:cs="Times New Roman"/>
          <w:bCs/>
          <w:sz w:val="24"/>
          <w:szCs w:val="24"/>
        </w:rPr>
        <w:t xml:space="preserve"> </w:t>
      </w:r>
      <w:r w:rsidR="00832B7E" w:rsidRPr="00832B7E">
        <w:rPr>
          <w:rFonts w:ascii="Times New Roman" w:hAnsi="Times New Roman" w:cs="Times New Roman"/>
          <w:sz w:val="24"/>
          <w:szCs w:val="24"/>
          <w:lang w:val="en-US"/>
        </w:rPr>
        <w:t>BELLINGER,</w:t>
      </w:r>
      <w:r w:rsidR="00832B7E" w:rsidRPr="00832B7E">
        <w:rPr>
          <w:rFonts w:ascii="Times New Roman" w:hAnsi="Times New Roman" w:cs="Times New Roman"/>
          <w:bCs/>
          <w:sz w:val="24"/>
          <w:szCs w:val="24"/>
        </w:rPr>
        <w:t xml:space="preserve"> </w:t>
      </w:r>
      <w:r w:rsidRPr="00832B7E">
        <w:rPr>
          <w:rFonts w:ascii="Times New Roman" w:hAnsi="Times New Roman" w:cs="Times New Roman"/>
          <w:bCs/>
          <w:sz w:val="24"/>
          <w:szCs w:val="24"/>
        </w:rPr>
        <w:t>2012)</w:t>
      </w:r>
      <w:r w:rsidRPr="00DE6D90">
        <w:rPr>
          <w:rFonts w:ascii="Times New Roman" w:hAnsi="Times New Roman" w:cs="Times New Roman"/>
          <w:sz w:val="24"/>
          <w:szCs w:val="24"/>
        </w:rPr>
        <w:t>.</w:t>
      </w:r>
      <w:r w:rsidR="002E3904" w:rsidRPr="00DE6D90">
        <w:rPr>
          <w:rFonts w:ascii="Times New Roman" w:hAnsi="Times New Roman" w:cs="Times New Roman"/>
          <w:sz w:val="24"/>
          <w:szCs w:val="24"/>
        </w:rPr>
        <w:t xml:space="preserve"> </w:t>
      </w:r>
      <w:r w:rsidRPr="00DE6D90">
        <w:rPr>
          <w:rFonts w:ascii="Times New Roman" w:hAnsi="Times New Roman" w:cs="Times New Roman"/>
          <w:sz w:val="24"/>
          <w:szCs w:val="24"/>
        </w:rPr>
        <w:t>Contudo, a alta prevalência de DTM dolorosas em mulheres, o padrão de início após a puberdade, e as taxas de prevalência mais baixas no período pós-menopausa, sugerem que os hormônios reprodutivos femininos desempenham um papel etiológico fundamental no desenvolvimento desta patologia articular</w:t>
      </w:r>
      <w:r w:rsidR="002E3904" w:rsidRPr="00DE6D90">
        <w:rPr>
          <w:rFonts w:ascii="Times New Roman" w:hAnsi="Times New Roman" w:cs="Times New Roman"/>
          <w:sz w:val="24"/>
          <w:szCs w:val="24"/>
        </w:rPr>
        <w:t xml:space="preserve"> </w:t>
      </w:r>
      <w:r w:rsidRPr="00B3515F">
        <w:rPr>
          <w:rFonts w:ascii="Times New Roman" w:hAnsi="Times New Roman" w:cs="Times New Roman"/>
          <w:bCs/>
          <w:sz w:val="24"/>
          <w:szCs w:val="24"/>
        </w:rPr>
        <w:t>(CHALKOO</w:t>
      </w:r>
      <w:r w:rsidR="00B3515F" w:rsidRPr="00B3515F">
        <w:rPr>
          <w:rFonts w:ascii="Times New Roman" w:hAnsi="Times New Roman" w:cs="Times New Roman"/>
          <w:bCs/>
          <w:sz w:val="24"/>
          <w:szCs w:val="24"/>
        </w:rPr>
        <w:t xml:space="preserve"> et al.,</w:t>
      </w:r>
      <w:r w:rsidRPr="00B3515F">
        <w:rPr>
          <w:rFonts w:ascii="Times New Roman" w:hAnsi="Times New Roman" w:cs="Times New Roman"/>
          <w:bCs/>
          <w:sz w:val="24"/>
          <w:szCs w:val="24"/>
        </w:rPr>
        <w:t xml:space="preserve"> 2014)</w:t>
      </w:r>
      <w:r w:rsidRPr="00DE6D90">
        <w:rPr>
          <w:rFonts w:ascii="Times New Roman" w:hAnsi="Times New Roman" w:cs="Times New Roman"/>
          <w:sz w:val="24"/>
          <w:szCs w:val="24"/>
        </w:rPr>
        <w:t>.</w:t>
      </w: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A síndrome dos ovários policísticos (SOP) é o distúrbio endócrino mais comum em mulheres no </w:t>
      </w:r>
      <w:proofErr w:type="spellStart"/>
      <w:r w:rsidRPr="00DE6D90">
        <w:rPr>
          <w:rFonts w:ascii="Times New Roman" w:hAnsi="Times New Roman" w:cs="Times New Roman"/>
          <w:sz w:val="24"/>
          <w:szCs w:val="24"/>
        </w:rPr>
        <w:t>menacme</w:t>
      </w:r>
      <w:proofErr w:type="spellEnd"/>
      <w:r w:rsidRPr="00DE6D90">
        <w:rPr>
          <w:rFonts w:ascii="Times New Roman" w:hAnsi="Times New Roman" w:cs="Times New Roman"/>
          <w:sz w:val="24"/>
          <w:szCs w:val="24"/>
        </w:rPr>
        <w:t xml:space="preserve">, acometendo cerca de 6% a 10% destas </w:t>
      </w:r>
      <w:r w:rsidRPr="00DE6D90">
        <w:rPr>
          <w:rFonts w:ascii="Times New Roman" w:hAnsi="Times New Roman" w:cs="Times New Roman"/>
          <w:b/>
          <w:bCs/>
          <w:sz w:val="24"/>
          <w:szCs w:val="24"/>
        </w:rPr>
        <w:t>(</w:t>
      </w:r>
      <w:r w:rsidR="00B3515F">
        <w:rPr>
          <w:rFonts w:ascii="Times New Roman" w:hAnsi="Times New Roman" w:cs="Times New Roman"/>
          <w:sz w:val="24"/>
          <w:szCs w:val="24"/>
          <w:lang w:val="en-US"/>
        </w:rPr>
        <w:t>FAUSER et al., 2012</w:t>
      </w:r>
      <w:r w:rsidRPr="00DE6D90">
        <w:rPr>
          <w:rFonts w:ascii="Times New Roman" w:hAnsi="Times New Roman" w:cs="Times New Roman"/>
          <w:b/>
          <w:bCs/>
          <w:sz w:val="24"/>
          <w:szCs w:val="24"/>
        </w:rPr>
        <w:t>)</w:t>
      </w:r>
      <w:r w:rsidRPr="00DE6D90">
        <w:rPr>
          <w:rFonts w:ascii="Times New Roman" w:hAnsi="Times New Roman" w:cs="Times New Roman"/>
          <w:sz w:val="24"/>
          <w:szCs w:val="24"/>
        </w:rPr>
        <w:t xml:space="preserve">, sendo frequentemente identificada durante os anos reprodutivos iniciais </w:t>
      </w:r>
      <w:r w:rsidR="00B3515F" w:rsidRPr="00DE6D90">
        <w:rPr>
          <w:rFonts w:ascii="Times New Roman" w:hAnsi="Times New Roman" w:cs="Times New Roman"/>
          <w:b/>
          <w:bCs/>
          <w:sz w:val="24"/>
          <w:szCs w:val="24"/>
        </w:rPr>
        <w:t>(</w:t>
      </w:r>
      <w:r w:rsidR="00B3515F">
        <w:rPr>
          <w:rFonts w:ascii="Times New Roman" w:hAnsi="Times New Roman" w:cs="Times New Roman"/>
          <w:sz w:val="24"/>
          <w:szCs w:val="24"/>
          <w:lang w:val="en-US"/>
        </w:rPr>
        <w:t>FAUSER et al., 2012</w:t>
      </w:r>
      <w:r w:rsidR="00B3515F" w:rsidRPr="00B3515F">
        <w:rPr>
          <w:rFonts w:ascii="Times New Roman" w:hAnsi="Times New Roman" w:cs="Times New Roman"/>
          <w:bCs/>
          <w:sz w:val="24"/>
          <w:szCs w:val="24"/>
        </w:rPr>
        <w:t xml:space="preserve">; </w:t>
      </w:r>
      <w:r w:rsidRPr="00B3515F">
        <w:rPr>
          <w:rFonts w:ascii="Times New Roman" w:hAnsi="Times New Roman" w:cs="Times New Roman"/>
          <w:bCs/>
          <w:sz w:val="24"/>
          <w:szCs w:val="24"/>
        </w:rPr>
        <w:t>WELT</w:t>
      </w:r>
      <w:r w:rsidR="00B3515F" w:rsidRPr="00B3515F">
        <w:rPr>
          <w:rFonts w:ascii="Times New Roman" w:hAnsi="Times New Roman" w:cs="Times New Roman"/>
          <w:bCs/>
          <w:sz w:val="24"/>
          <w:szCs w:val="24"/>
        </w:rPr>
        <w:t>;</w:t>
      </w:r>
      <w:r w:rsidRPr="00B3515F">
        <w:rPr>
          <w:rFonts w:ascii="Times New Roman" w:hAnsi="Times New Roman" w:cs="Times New Roman"/>
          <w:bCs/>
          <w:sz w:val="24"/>
          <w:szCs w:val="24"/>
        </w:rPr>
        <w:t xml:space="preserve"> </w:t>
      </w:r>
      <w:r w:rsidR="00B3515F" w:rsidRPr="00B3515F">
        <w:rPr>
          <w:rFonts w:ascii="Times New Roman" w:hAnsi="Times New Roman" w:cs="Times New Roman"/>
          <w:sz w:val="24"/>
          <w:szCs w:val="24"/>
        </w:rPr>
        <w:t>CARMINA,</w:t>
      </w:r>
      <w:r w:rsidR="00B3515F" w:rsidRPr="00B3515F">
        <w:rPr>
          <w:rFonts w:ascii="Times New Roman" w:hAnsi="Times New Roman" w:cs="Times New Roman"/>
          <w:bCs/>
          <w:sz w:val="24"/>
          <w:szCs w:val="24"/>
        </w:rPr>
        <w:t xml:space="preserve"> </w:t>
      </w:r>
      <w:r w:rsidRPr="00B3515F">
        <w:rPr>
          <w:rFonts w:ascii="Times New Roman" w:hAnsi="Times New Roman" w:cs="Times New Roman"/>
          <w:bCs/>
          <w:sz w:val="24"/>
          <w:szCs w:val="24"/>
        </w:rPr>
        <w:t>2013)</w:t>
      </w:r>
      <w:r w:rsidRPr="00DE6D90">
        <w:rPr>
          <w:rFonts w:ascii="Times New Roman" w:hAnsi="Times New Roman" w:cs="Times New Roman"/>
          <w:sz w:val="24"/>
          <w:szCs w:val="24"/>
        </w:rPr>
        <w:t xml:space="preserve">. Apesar dos diversos protocolos diagnósticos existentes </w:t>
      </w:r>
      <w:r w:rsidRPr="00C22243">
        <w:rPr>
          <w:rFonts w:ascii="Times New Roman" w:hAnsi="Times New Roman" w:cs="Times New Roman"/>
          <w:bCs/>
          <w:sz w:val="24"/>
          <w:szCs w:val="24"/>
        </w:rPr>
        <w:t>(LEGRO</w:t>
      </w:r>
      <w:r w:rsidR="00C22243" w:rsidRPr="00C22243">
        <w:rPr>
          <w:rFonts w:ascii="Times New Roman" w:hAnsi="Times New Roman" w:cs="Times New Roman"/>
          <w:bCs/>
          <w:sz w:val="24"/>
          <w:szCs w:val="24"/>
        </w:rPr>
        <w:t xml:space="preserve"> et al.</w:t>
      </w:r>
      <w:r w:rsidRPr="00C22243">
        <w:rPr>
          <w:rFonts w:ascii="Times New Roman" w:hAnsi="Times New Roman" w:cs="Times New Roman"/>
          <w:bCs/>
          <w:sz w:val="24"/>
          <w:szCs w:val="24"/>
        </w:rPr>
        <w:t>, 2013)</w:t>
      </w:r>
      <w:r w:rsidRPr="00DE6D90">
        <w:rPr>
          <w:rFonts w:ascii="Times New Roman" w:hAnsi="Times New Roman" w:cs="Times New Roman"/>
          <w:sz w:val="24"/>
          <w:szCs w:val="24"/>
        </w:rPr>
        <w:t xml:space="preserve">, atualmente, o mais utilizado é aquele que utiliza os critérios de </w:t>
      </w:r>
      <w:proofErr w:type="spellStart"/>
      <w:r w:rsidRPr="00DE6D90">
        <w:rPr>
          <w:rFonts w:ascii="Times New Roman" w:hAnsi="Times New Roman" w:cs="Times New Roman"/>
          <w:sz w:val="24"/>
          <w:szCs w:val="24"/>
        </w:rPr>
        <w:t>Rotterdan</w:t>
      </w:r>
      <w:proofErr w:type="spellEnd"/>
      <w:r w:rsidRPr="00DE6D90">
        <w:rPr>
          <w:rFonts w:ascii="Times New Roman" w:hAnsi="Times New Roman" w:cs="Times New Roman"/>
          <w:sz w:val="24"/>
          <w:szCs w:val="24"/>
        </w:rPr>
        <w:t xml:space="preserve"> </w:t>
      </w:r>
      <w:r w:rsidRPr="00C22243">
        <w:rPr>
          <w:rFonts w:ascii="Times New Roman" w:hAnsi="Times New Roman" w:cs="Times New Roman"/>
          <w:sz w:val="24"/>
          <w:szCs w:val="24"/>
        </w:rPr>
        <w:t>(The Rotterdam ESHRE/ASRM-</w:t>
      </w:r>
      <w:proofErr w:type="spellStart"/>
      <w:r w:rsidRPr="00C22243">
        <w:rPr>
          <w:rFonts w:ascii="Times New Roman" w:hAnsi="Times New Roman" w:cs="Times New Roman"/>
          <w:sz w:val="24"/>
          <w:szCs w:val="24"/>
        </w:rPr>
        <w:t>sponsored</w:t>
      </w:r>
      <w:proofErr w:type="spellEnd"/>
      <w:r w:rsidRPr="00C22243">
        <w:rPr>
          <w:rFonts w:ascii="Times New Roman" w:hAnsi="Times New Roman" w:cs="Times New Roman"/>
          <w:sz w:val="24"/>
          <w:szCs w:val="24"/>
        </w:rPr>
        <w:t xml:space="preserve"> PCOS consensus </w:t>
      </w:r>
      <w:proofErr w:type="spellStart"/>
      <w:r w:rsidRPr="00C22243">
        <w:rPr>
          <w:rFonts w:ascii="Times New Roman" w:hAnsi="Times New Roman" w:cs="Times New Roman"/>
          <w:sz w:val="24"/>
          <w:szCs w:val="24"/>
        </w:rPr>
        <w:t>worshop</w:t>
      </w:r>
      <w:proofErr w:type="spellEnd"/>
      <w:r w:rsidRPr="00C22243">
        <w:rPr>
          <w:rFonts w:ascii="Times New Roman" w:hAnsi="Times New Roman" w:cs="Times New Roman"/>
          <w:sz w:val="24"/>
          <w:szCs w:val="24"/>
        </w:rPr>
        <w:t xml:space="preserve"> </w:t>
      </w:r>
      <w:proofErr w:type="spellStart"/>
      <w:r w:rsidRPr="00C22243">
        <w:rPr>
          <w:rFonts w:ascii="Times New Roman" w:hAnsi="Times New Roman" w:cs="Times New Roman"/>
          <w:sz w:val="24"/>
          <w:szCs w:val="24"/>
        </w:rPr>
        <w:t>group</w:t>
      </w:r>
      <w:proofErr w:type="spellEnd"/>
      <w:r w:rsidR="00C22243" w:rsidRPr="00C22243">
        <w:rPr>
          <w:rFonts w:ascii="Times New Roman" w:hAnsi="Times New Roman" w:cs="Times New Roman"/>
          <w:sz w:val="24"/>
          <w:szCs w:val="24"/>
        </w:rPr>
        <w:t>, 2004</w:t>
      </w:r>
      <w:r w:rsidR="002E3904" w:rsidRPr="00C22243">
        <w:rPr>
          <w:rFonts w:ascii="Times New Roman" w:hAnsi="Times New Roman" w:cs="Times New Roman"/>
          <w:sz w:val="24"/>
          <w:szCs w:val="24"/>
        </w:rPr>
        <w:t>)</w:t>
      </w:r>
      <w:r w:rsidR="002E3904" w:rsidRPr="00DE6D90">
        <w:rPr>
          <w:rFonts w:ascii="Times New Roman" w:hAnsi="Times New Roman" w:cs="Times New Roman"/>
          <w:sz w:val="24"/>
          <w:szCs w:val="24"/>
        </w:rPr>
        <w:t>,</w:t>
      </w:r>
      <w:r w:rsidRPr="00DE6D90">
        <w:rPr>
          <w:rFonts w:ascii="Times New Roman" w:hAnsi="Times New Roman" w:cs="Times New Roman"/>
          <w:color w:val="FF0000"/>
          <w:sz w:val="24"/>
          <w:szCs w:val="24"/>
        </w:rPr>
        <w:t xml:space="preserve"> </w:t>
      </w:r>
      <w:r w:rsidRPr="00DE6D90">
        <w:rPr>
          <w:rFonts w:ascii="Times New Roman" w:hAnsi="Times New Roman" w:cs="Times New Roman"/>
          <w:sz w:val="24"/>
          <w:szCs w:val="24"/>
        </w:rPr>
        <w:t>em que a síndrome é confirmada quando há presença de dois dos três critérios a seguir:</w:t>
      </w:r>
      <w:r w:rsidRPr="00DE6D90">
        <w:rPr>
          <w:rFonts w:ascii="Times New Roman" w:hAnsi="Times New Roman" w:cs="Times New Roman"/>
          <w:color w:val="FF0000"/>
          <w:sz w:val="24"/>
          <w:szCs w:val="24"/>
        </w:rPr>
        <w:t xml:space="preserve"> </w:t>
      </w:r>
      <w:r w:rsidRPr="00DE6D90">
        <w:rPr>
          <w:rFonts w:ascii="Times New Roman" w:hAnsi="Times New Roman" w:cs="Times New Roman"/>
          <w:sz w:val="24"/>
          <w:szCs w:val="24"/>
        </w:rPr>
        <w:t xml:space="preserve">1) ciclos menstruais irregulares por </w:t>
      </w:r>
      <w:proofErr w:type="spellStart"/>
      <w:r w:rsidRPr="00DE6D90">
        <w:rPr>
          <w:rFonts w:ascii="Times New Roman" w:hAnsi="Times New Roman" w:cs="Times New Roman"/>
          <w:sz w:val="24"/>
          <w:szCs w:val="24"/>
        </w:rPr>
        <w:t>anovulação</w:t>
      </w:r>
      <w:proofErr w:type="spellEnd"/>
      <w:r w:rsidRPr="00DE6D90">
        <w:rPr>
          <w:rFonts w:ascii="Times New Roman" w:hAnsi="Times New Roman" w:cs="Times New Roman"/>
          <w:sz w:val="24"/>
          <w:szCs w:val="24"/>
        </w:rPr>
        <w:t xml:space="preserve">, ou </w:t>
      </w:r>
      <w:proofErr w:type="spellStart"/>
      <w:r w:rsidRPr="00DE6D90">
        <w:rPr>
          <w:rFonts w:ascii="Times New Roman" w:hAnsi="Times New Roman" w:cs="Times New Roman"/>
          <w:sz w:val="24"/>
          <w:szCs w:val="24"/>
        </w:rPr>
        <w:t>oligovulação</w:t>
      </w:r>
      <w:proofErr w:type="spellEnd"/>
      <w:r w:rsidRPr="00DE6D90">
        <w:rPr>
          <w:rFonts w:ascii="Times New Roman" w:hAnsi="Times New Roman" w:cs="Times New Roman"/>
          <w:sz w:val="24"/>
          <w:szCs w:val="24"/>
        </w:rPr>
        <w:t xml:space="preserve">; 2) </w:t>
      </w:r>
      <w:proofErr w:type="spellStart"/>
      <w:r w:rsidRPr="00DE6D90">
        <w:rPr>
          <w:rFonts w:ascii="Times New Roman" w:hAnsi="Times New Roman" w:cs="Times New Roman"/>
          <w:sz w:val="24"/>
          <w:szCs w:val="24"/>
        </w:rPr>
        <w:t>hiperandrogenismo</w:t>
      </w:r>
      <w:proofErr w:type="spellEnd"/>
      <w:r w:rsidRPr="00DE6D90">
        <w:rPr>
          <w:rFonts w:ascii="Times New Roman" w:hAnsi="Times New Roman" w:cs="Times New Roman"/>
          <w:sz w:val="24"/>
          <w:szCs w:val="24"/>
        </w:rPr>
        <w:t xml:space="preserve"> clinico ou laboratorial</w:t>
      </w:r>
      <w:r w:rsidRPr="00DE6D90">
        <w:rPr>
          <w:rFonts w:ascii="Times New Roman" w:hAnsi="Times New Roman" w:cs="Times New Roman"/>
          <w:color w:val="FF0000"/>
          <w:sz w:val="24"/>
          <w:szCs w:val="24"/>
        </w:rPr>
        <w:t xml:space="preserve"> </w:t>
      </w:r>
      <w:r w:rsidRPr="00DE6D90">
        <w:rPr>
          <w:rFonts w:ascii="Times New Roman" w:hAnsi="Times New Roman" w:cs="Times New Roman"/>
          <w:sz w:val="24"/>
          <w:szCs w:val="24"/>
        </w:rPr>
        <w:t>e 3) presença de micro cistos na periferia do ovário observados através de imagem de ultrassonografia</w:t>
      </w:r>
      <w:r w:rsidR="001D0964" w:rsidRPr="00DE6D90">
        <w:rPr>
          <w:rFonts w:ascii="Times New Roman" w:hAnsi="Times New Roman" w:cs="Times New Roman"/>
          <w:b/>
          <w:bCs/>
          <w:sz w:val="24"/>
          <w:szCs w:val="24"/>
        </w:rPr>
        <w:t xml:space="preserve"> </w:t>
      </w:r>
      <w:r w:rsidR="00C22243" w:rsidRPr="00DE6D90">
        <w:rPr>
          <w:rFonts w:ascii="Times New Roman" w:hAnsi="Times New Roman" w:cs="Times New Roman"/>
          <w:b/>
          <w:bCs/>
          <w:sz w:val="24"/>
          <w:szCs w:val="24"/>
        </w:rPr>
        <w:t>(</w:t>
      </w:r>
      <w:r w:rsidR="00C22243">
        <w:rPr>
          <w:rFonts w:ascii="Times New Roman" w:hAnsi="Times New Roman" w:cs="Times New Roman"/>
          <w:sz w:val="24"/>
          <w:szCs w:val="24"/>
          <w:lang w:val="en-US"/>
        </w:rPr>
        <w:t>FAUSER et al., 2012</w:t>
      </w:r>
      <w:r w:rsidR="00C22243" w:rsidRPr="00B3515F">
        <w:rPr>
          <w:rFonts w:ascii="Times New Roman" w:hAnsi="Times New Roman" w:cs="Times New Roman"/>
          <w:bCs/>
          <w:sz w:val="24"/>
          <w:szCs w:val="24"/>
        </w:rPr>
        <w:t xml:space="preserve">; WELT; </w:t>
      </w:r>
      <w:r w:rsidR="00C22243" w:rsidRPr="00B3515F">
        <w:rPr>
          <w:rFonts w:ascii="Times New Roman" w:hAnsi="Times New Roman" w:cs="Times New Roman"/>
          <w:sz w:val="24"/>
          <w:szCs w:val="24"/>
        </w:rPr>
        <w:t>CARMINA,</w:t>
      </w:r>
      <w:r w:rsidR="00C22243" w:rsidRPr="00B3515F">
        <w:rPr>
          <w:rFonts w:ascii="Times New Roman" w:hAnsi="Times New Roman" w:cs="Times New Roman"/>
          <w:bCs/>
          <w:sz w:val="24"/>
          <w:szCs w:val="24"/>
        </w:rPr>
        <w:t xml:space="preserve"> 2013)</w:t>
      </w:r>
      <w:r w:rsidRPr="00DE6D90">
        <w:rPr>
          <w:rFonts w:ascii="Times New Roman" w:hAnsi="Times New Roman" w:cs="Times New Roman"/>
          <w:sz w:val="24"/>
          <w:szCs w:val="24"/>
        </w:rPr>
        <w:t xml:space="preserve">. As manifestações </w:t>
      </w:r>
      <w:r w:rsidR="001D0964" w:rsidRPr="00DE6D90">
        <w:rPr>
          <w:rFonts w:ascii="Times New Roman" w:hAnsi="Times New Roman" w:cs="Times New Roman"/>
          <w:sz w:val="24"/>
          <w:szCs w:val="24"/>
        </w:rPr>
        <w:t>clínicas englobam as</w:t>
      </w:r>
      <w:r w:rsidRPr="00DE6D90">
        <w:rPr>
          <w:rFonts w:ascii="Times New Roman" w:hAnsi="Times New Roman" w:cs="Times New Roman"/>
          <w:sz w:val="24"/>
          <w:szCs w:val="24"/>
        </w:rPr>
        <w:t xml:space="preserve"> desordens reprodutivas, acne, </w:t>
      </w:r>
      <w:proofErr w:type="spellStart"/>
      <w:r w:rsidRPr="00DE6D90">
        <w:rPr>
          <w:rFonts w:ascii="Times New Roman" w:hAnsi="Times New Roman" w:cs="Times New Roman"/>
          <w:sz w:val="24"/>
          <w:szCs w:val="24"/>
        </w:rPr>
        <w:t>hirsutismo</w:t>
      </w:r>
      <w:proofErr w:type="spellEnd"/>
      <w:r w:rsidR="001D0964" w:rsidRPr="00DE6D90">
        <w:rPr>
          <w:rFonts w:ascii="Times New Roman" w:hAnsi="Times New Roman" w:cs="Times New Roman"/>
          <w:sz w:val="24"/>
          <w:szCs w:val="24"/>
        </w:rPr>
        <w:t>,</w:t>
      </w:r>
      <w:r w:rsidRPr="00DE6D90">
        <w:rPr>
          <w:rFonts w:ascii="Times New Roman" w:hAnsi="Times New Roman" w:cs="Times New Roman"/>
          <w:sz w:val="24"/>
          <w:szCs w:val="24"/>
        </w:rPr>
        <w:t xml:space="preserve"> </w:t>
      </w:r>
      <w:r w:rsidR="001D0964" w:rsidRPr="00DE6D90">
        <w:rPr>
          <w:rFonts w:ascii="Times New Roman" w:hAnsi="Times New Roman" w:cs="Times New Roman"/>
          <w:sz w:val="24"/>
          <w:szCs w:val="24"/>
        </w:rPr>
        <w:t xml:space="preserve">maior </w:t>
      </w:r>
      <w:r w:rsidRPr="00DE6D90">
        <w:rPr>
          <w:rFonts w:ascii="Times New Roman" w:hAnsi="Times New Roman" w:cs="Times New Roman"/>
          <w:sz w:val="24"/>
          <w:szCs w:val="24"/>
        </w:rPr>
        <w:t xml:space="preserve">risco </w:t>
      </w:r>
      <w:r w:rsidR="001D0964" w:rsidRPr="00DE6D90">
        <w:rPr>
          <w:rFonts w:ascii="Times New Roman" w:hAnsi="Times New Roman" w:cs="Times New Roman"/>
          <w:sz w:val="24"/>
          <w:szCs w:val="24"/>
        </w:rPr>
        <w:t>de</w:t>
      </w:r>
      <w:r w:rsidRPr="00DE6D90">
        <w:rPr>
          <w:rFonts w:ascii="Times New Roman" w:hAnsi="Times New Roman" w:cs="Times New Roman"/>
          <w:sz w:val="24"/>
          <w:szCs w:val="24"/>
        </w:rPr>
        <w:t xml:space="preserve"> desenvolvimento d</w:t>
      </w:r>
      <w:r w:rsidR="001D0964" w:rsidRPr="00DE6D90">
        <w:rPr>
          <w:rFonts w:ascii="Times New Roman" w:hAnsi="Times New Roman" w:cs="Times New Roman"/>
          <w:sz w:val="24"/>
          <w:szCs w:val="24"/>
        </w:rPr>
        <w:t>e</w:t>
      </w:r>
      <w:r w:rsidRPr="00DE6D90">
        <w:rPr>
          <w:rFonts w:ascii="Times New Roman" w:hAnsi="Times New Roman" w:cs="Times New Roman"/>
          <w:sz w:val="24"/>
          <w:szCs w:val="24"/>
        </w:rPr>
        <w:t xml:space="preserve"> doença</w:t>
      </w:r>
      <w:r w:rsidR="001D0964" w:rsidRPr="00DE6D90">
        <w:rPr>
          <w:rFonts w:ascii="Times New Roman" w:hAnsi="Times New Roman" w:cs="Times New Roman"/>
          <w:sz w:val="24"/>
          <w:szCs w:val="24"/>
        </w:rPr>
        <w:t>s</w:t>
      </w:r>
      <w:r w:rsidRPr="00DE6D90">
        <w:rPr>
          <w:rFonts w:ascii="Times New Roman" w:hAnsi="Times New Roman" w:cs="Times New Roman"/>
          <w:sz w:val="24"/>
          <w:szCs w:val="24"/>
        </w:rPr>
        <w:t xml:space="preserve"> cardiovascular</w:t>
      </w:r>
      <w:r w:rsidR="001D0964" w:rsidRPr="00DE6D90">
        <w:rPr>
          <w:rFonts w:ascii="Times New Roman" w:hAnsi="Times New Roman" w:cs="Times New Roman"/>
          <w:sz w:val="24"/>
          <w:szCs w:val="24"/>
        </w:rPr>
        <w:t>es</w:t>
      </w:r>
      <w:r w:rsidRPr="00DE6D90">
        <w:rPr>
          <w:rFonts w:ascii="Times New Roman" w:hAnsi="Times New Roman" w:cs="Times New Roman"/>
          <w:sz w:val="24"/>
          <w:szCs w:val="24"/>
        </w:rPr>
        <w:t>, câncer e desordens metabólicas (obesidade, dislipidemia e diabetes tipo II</w:t>
      </w:r>
      <w:r w:rsidRPr="00F80898">
        <w:rPr>
          <w:rFonts w:ascii="Times New Roman" w:hAnsi="Times New Roman" w:cs="Times New Roman"/>
          <w:sz w:val="24"/>
          <w:szCs w:val="24"/>
        </w:rPr>
        <w:t xml:space="preserve">) </w:t>
      </w:r>
      <w:r w:rsidRPr="00F80898">
        <w:rPr>
          <w:rFonts w:ascii="Times New Roman" w:hAnsi="Times New Roman" w:cs="Times New Roman"/>
          <w:bCs/>
          <w:sz w:val="24"/>
          <w:szCs w:val="24"/>
        </w:rPr>
        <w:t>(JÚNIOR</w:t>
      </w:r>
      <w:r w:rsidR="00F80898" w:rsidRPr="00F80898">
        <w:rPr>
          <w:rFonts w:ascii="Times New Roman" w:hAnsi="Times New Roman" w:cs="Times New Roman"/>
          <w:bCs/>
          <w:sz w:val="24"/>
          <w:szCs w:val="24"/>
        </w:rPr>
        <w:t xml:space="preserve"> et al., 2010; </w:t>
      </w:r>
      <w:r w:rsidRPr="00F80898">
        <w:rPr>
          <w:rFonts w:ascii="Times New Roman" w:hAnsi="Times New Roman" w:cs="Times New Roman"/>
          <w:bCs/>
          <w:sz w:val="24"/>
          <w:szCs w:val="24"/>
        </w:rPr>
        <w:lastRenderedPageBreak/>
        <w:t>OZANNE</w:t>
      </w:r>
      <w:r w:rsidR="00F80898" w:rsidRPr="00F80898">
        <w:rPr>
          <w:rFonts w:ascii="Times New Roman" w:hAnsi="Times New Roman" w:cs="Times New Roman"/>
          <w:bCs/>
          <w:sz w:val="24"/>
          <w:szCs w:val="24"/>
        </w:rPr>
        <w:t xml:space="preserve"> et al.</w:t>
      </w:r>
      <w:r w:rsidRPr="00F80898">
        <w:rPr>
          <w:rFonts w:ascii="Times New Roman" w:hAnsi="Times New Roman" w:cs="Times New Roman"/>
          <w:bCs/>
          <w:sz w:val="24"/>
          <w:szCs w:val="24"/>
        </w:rPr>
        <w:t>, 2004)</w:t>
      </w:r>
      <w:r w:rsidRPr="00DE6D90">
        <w:rPr>
          <w:rFonts w:ascii="Times New Roman" w:hAnsi="Times New Roman" w:cs="Times New Roman"/>
          <w:sz w:val="24"/>
          <w:szCs w:val="24"/>
        </w:rPr>
        <w:t>.</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Contudo, mesmo diante da alta prevalência na população, sua etiologia é complexa, com manifestações heterogêneas e mal compreendidas</w:t>
      </w:r>
      <w:r w:rsidR="001D0964" w:rsidRPr="00DE6D90">
        <w:rPr>
          <w:rFonts w:ascii="Times New Roman" w:hAnsi="Times New Roman" w:cs="Times New Roman"/>
          <w:sz w:val="24"/>
          <w:szCs w:val="24"/>
        </w:rPr>
        <w:t xml:space="preserve"> </w:t>
      </w:r>
      <w:r w:rsidR="00F80898" w:rsidRPr="00C22243">
        <w:rPr>
          <w:rFonts w:ascii="Times New Roman" w:hAnsi="Times New Roman" w:cs="Times New Roman"/>
          <w:bCs/>
          <w:sz w:val="24"/>
          <w:szCs w:val="24"/>
        </w:rPr>
        <w:t>(LEGRO et al., 2013)</w:t>
      </w:r>
      <w:r w:rsidRPr="00DE6D90">
        <w:rPr>
          <w:rFonts w:ascii="Times New Roman" w:hAnsi="Times New Roman" w:cs="Times New Roman"/>
          <w:sz w:val="24"/>
          <w:szCs w:val="24"/>
        </w:rPr>
        <w:t>.</w:t>
      </w:r>
    </w:p>
    <w:p w:rsidR="00067CDE" w:rsidRPr="00DE6D90" w:rsidRDefault="00067CDE" w:rsidP="00DE6D90">
      <w:pPr>
        <w:spacing w:line="480" w:lineRule="auto"/>
        <w:ind w:firstLine="708"/>
        <w:jc w:val="both"/>
        <w:rPr>
          <w:rFonts w:ascii="Times New Roman" w:hAnsi="Times New Roman" w:cs="Times New Roman"/>
          <w:sz w:val="24"/>
          <w:szCs w:val="24"/>
        </w:rPr>
      </w:pPr>
      <w:r w:rsidRPr="006C6F42">
        <w:rPr>
          <w:rFonts w:ascii="Times New Roman" w:hAnsi="Times New Roman" w:cs="Times New Roman"/>
          <w:sz w:val="24"/>
          <w:szCs w:val="24"/>
        </w:rPr>
        <w:t xml:space="preserve">Padrões bioquímicos de </w:t>
      </w:r>
      <w:proofErr w:type="spellStart"/>
      <w:r w:rsidRPr="006C6F42">
        <w:rPr>
          <w:rFonts w:ascii="Times New Roman" w:hAnsi="Times New Roman" w:cs="Times New Roman"/>
          <w:sz w:val="24"/>
          <w:szCs w:val="24"/>
        </w:rPr>
        <w:t>hiperandrogenismo</w:t>
      </w:r>
      <w:proofErr w:type="spellEnd"/>
      <w:r w:rsidRPr="006C6F42">
        <w:rPr>
          <w:rFonts w:ascii="Times New Roman" w:hAnsi="Times New Roman" w:cs="Times New Roman"/>
          <w:sz w:val="24"/>
          <w:szCs w:val="24"/>
        </w:rPr>
        <w:t xml:space="preserve"> vistos na SOP incluem o aumento da testosterona total livre e </w:t>
      </w:r>
      <w:proofErr w:type="spellStart"/>
      <w:r w:rsidRPr="006C6F42">
        <w:rPr>
          <w:rFonts w:ascii="Times New Roman" w:hAnsi="Times New Roman" w:cs="Times New Roman"/>
          <w:sz w:val="24"/>
          <w:szCs w:val="24"/>
        </w:rPr>
        <w:t>dehidroepiandrosterona</w:t>
      </w:r>
      <w:proofErr w:type="spellEnd"/>
      <w:r w:rsidRPr="006C6F42">
        <w:rPr>
          <w:rFonts w:ascii="Times New Roman" w:hAnsi="Times New Roman" w:cs="Times New Roman"/>
          <w:sz w:val="24"/>
          <w:szCs w:val="24"/>
        </w:rPr>
        <w:t xml:space="preserve">, muitas vezes acompanhada por uma diminuição do nível de globulina transportadora de hormônio sexual (SHBG), diminuição nos hormônios sexuais femininos e desequilíbrio dos mesmos </w:t>
      </w:r>
      <w:r w:rsidRPr="006C6F42">
        <w:rPr>
          <w:rFonts w:ascii="Times New Roman" w:hAnsi="Times New Roman" w:cs="Times New Roman"/>
          <w:bCs/>
          <w:sz w:val="24"/>
          <w:szCs w:val="24"/>
        </w:rPr>
        <w:t>(NANDI</w:t>
      </w:r>
      <w:r w:rsidR="006C6F42" w:rsidRPr="006C6F42">
        <w:rPr>
          <w:rFonts w:ascii="Times New Roman" w:hAnsi="Times New Roman" w:cs="Times New Roman"/>
          <w:bCs/>
          <w:sz w:val="24"/>
          <w:szCs w:val="24"/>
        </w:rPr>
        <w:t xml:space="preserve"> et al.</w:t>
      </w:r>
      <w:r w:rsidRPr="006C6F42">
        <w:rPr>
          <w:rFonts w:ascii="Times New Roman" w:hAnsi="Times New Roman" w:cs="Times New Roman"/>
          <w:bCs/>
          <w:sz w:val="24"/>
          <w:szCs w:val="24"/>
        </w:rPr>
        <w:t>, 2014; SOYDAN</w:t>
      </w:r>
      <w:r w:rsidR="006C6F42" w:rsidRPr="006C6F42">
        <w:rPr>
          <w:rFonts w:ascii="Times New Roman" w:hAnsi="Times New Roman" w:cs="Times New Roman"/>
          <w:bCs/>
          <w:sz w:val="24"/>
          <w:szCs w:val="24"/>
        </w:rPr>
        <w:t xml:space="preserve"> et al.</w:t>
      </w:r>
      <w:r w:rsidRPr="006C6F42">
        <w:rPr>
          <w:rFonts w:ascii="Times New Roman" w:hAnsi="Times New Roman" w:cs="Times New Roman"/>
          <w:bCs/>
          <w:sz w:val="24"/>
          <w:szCs w:val="24"/>
        </w:rPr>
        <w:t>, 2014)</w:t>
      </w:r>
      <w:r w:rsidRPr="006C6F42">
        <w:rPr>
          <w:rFonts w:ascii="Times New Roman" w:hAnsi="Times New Roman" w:cs="Times New Roman"/>
          <w:sz w:val="24"/>
          <w:szCs w:val="24"/>
        </w:rPr>
        <w:t>.</w:t>
      </w:r>
      <w:r w:rsidR="00A70206" w:rsidRPr="006C6F42">
        <w:rPr>
          <w:rFonts w:ascii="Times New Roman" w:hAnsi="Times New Roman" w:cs="Times New Roman"/>
          <w:sz w:val="24"/>
          <w:szCs w:val="24"/>
        </w:rPr>
        <w:t xml:space="preserve"> </w:t>
      </w:r>
      <w:r w:rsidRPr="006C6F42">
        <w:rPr>
          <w:rFonts w:ascii="Times New Roman" w:hAnsi="Times New Roman" w:cs="Times New Roman"/>
          <w:sz w:val="24"/>
          <w:szCs w:val="24"/>
        </w:rPr>
        <w:t>Considerando-se que atividades de remodelação da matriz extracelular é diretamente influenciada pelos</w:t>
      </w:r>
      <w:r w:rsidR="001D0964" w:rsidRPr="006C6F42">
        <w:rPr>
          <w:rFonts w:ascii="Times New Roman" w:hAnsi="Times New Roman" w:cs="Times New Roman"/>
          <w:sz w:val="24"/>
          <w:szCs w:val="24"/>
        </w:rPr>
        <w:t xml:space="preserve"> </w:t>
      </w:r>
      <w:r w:rsidRPr="006C6F42">
        <w:rPr>
          <w:rFonts w:ascii="Times New Roman" w:hAnsi="Times New Roman" w:cs="Times New Roman"/>
          <w:sz w:val="24"/>
          <w:szCs w:val="24"/>
        </w:rPr>
        <w:t xml:space="preserve">hormônios estrogênio, progesterona e </w:t>
      </w:r>
      <w:proofErr w:type="spellStart"/>
      <w:r w:rsidRPr="006C6F42">
        <w:rPr>
          <w:rFonts w:ascii="Times New Roman" w:hAnsi="Times New Roman" w:cs="Times New Roman"/>
          <w:sz w:val="24"/>
          <w:szCs w:val="24"/>
        </w:rPr>
        <w:t>relaxina</w:t>
      </w:r>
      <w:proofErr w:type="spellEnd"/>
      <w:r w:rsidRPr="006C6F42">
        <w:rPr>
          <w:rFonts w:ascii="Times New Roman" w:hAnsi="Times New Roman" w:cs="Times New Roman"/>
          <w:sz w:val="24"/>
          <w:szCs w:val="24"/>
        </w:rPr>
        <w:t>, alterações nestas substâncias,</w:t>
      </w:r>
      <w:r w:rsidR="001D0964" w:rsidRPr="006C6F42">
        <w:rPr>
          <w:rFonts w:ascii="Times New Roman" w:hAnsi="Times New Roman" w:cs="Times New Roman"/>
          <w:sz w:val="24"/>
          <w:szCs w:val="24"/>
        </w:rPr>
        <w:t xml:space="preserve"> </w:t>
      </w:r>
      <w:r w:rsidRPr="006C6F42">
        <w:rPr>
          <w:rFonts w:ascii="Times New Roman" w:hAnsi="Times New Roman" w:cs="Times New Roman"/>
          <w:sz w:val="24"/>
          <w:szCs w:val="24"/>
        </w:rPr>
        <w:t xml:space="preserve">podem estar envolvidas no desenvolvimento de alterações degenerativas articulares </w:t>
      </w:r>
      <w:r w:rsidRPr="006C6F42">
        <w:rPr>
          <w:rFonts w:ascii="Times New Roman" w:hAnsi="Times New Roman" w:cs="Times New Roman"/>
          <w:bCs/>
          <w:sz w:val="24"/>
          <w:szCs w:val="24"/>
        </w:rPr>
        <w:t>(</w:t>
      </w:r>
      <w:r w:rsidR="006C6F42" w:rsidRPr="006C6F42">
        <w:rPr>
          <w:rFonts w:ascii="Times New Roman" w:hAnsi="Times New Roman" w:cs="Times New Roman"/>
          <w:bCs/>
          <w:sz w:val="24"/>
          <w:szCs w:val="24"/>
        </w:rPr>
        <w:t>SOYDAN et al., 2014</w:t>
      </w:r>
      <w:r w:rsidRPr="006C6F42">
        <w:rPr>
          <w:rFonts w:ascii="Times New Roman" w:hAnsi="Times New Roman" w:cs="Times New Roman"/>
          <w:bCs/>
          <w:sz w:val="24"/>
          <w:szCs w:val="24"/>
        </w:rPr>
        <w:t>)</w:t>
      </w:r>
      <w:r w:rsidRPr="006C6F42">
        <w:rPr>
          <w:rFonts w:ascii="Times New Roman" w:hAnsi="Times New Roman" w:cs="Times New Roman"/>
          <w:sz w:val="24"/>
          <w:szCs w:val="24"/>
        </w:rPr>
        <w:t>. Adicionalmente, flutuações no estrogênio endógeno podem afetar o osso e cartilagem articular</w:t>
      </w:r>
      <w:r w:rsidRPr="006C6F42">
        <w:rPr>
          <w:rFonts w:ascii="Times New Roman" w:hAnsi="Times New Roman" w:cs="Times New Roman"/>
          <w:b/>
          <w:bCs/>
          <w:sz w:val="24"/>
          <w:szCs w:val="24"/>
        </w:rPr>
        <w:t>,</w:t>
      </w:r>
      <w:r w:rsidR="001D0964" w:rsidRPr="006C6F42">
        <w:rPr>
          <w:rFonts w:ascii="Times New Roman" w:hAnsi="Times New Roman" w:cs="Times New Roman"/>
          <w:b/>
          <w:bCs/>
          <w:sz w:val="24"/>
          <w:szCs w:val="24"/>
        </w:rPr>
        <w:t xml:space="preserve"> </w:t>
      </w:r>
      <w:r w:rsidRPr="006C6F42">
        <w:rPr>
          <w:rFonts w:ascii="Times New Roman" w:hAnsi="Times New Roman" w:cs="Times New Roman"/>
          <w:sz w:val="24"/>
          <w:szCs w:val="24"/>
        </w:rPr>
        <w:t>estimulando a resposta inflamatória e resultando em desarranjo interno da ATM</w:t>
      </w:r>
      <w:r w:rsidR="001D0964" w:rsidRPr="006C6F42">
        <w:rPr>
          <w:rFonts w:ascii="Times New Roman" w:hAnsi="Times New Roman" w:cs="Times New Roman"/>
          <w:sz w:val="24"/>
          <w:szCs w:val="24"/>
        </w:rPr>
        <w:t xml:space="preserve"> </w:t>
      </w:r>
      <w:r w:rsidRPr="006C6F42">
        <w:rPr>
          <w:rFonts w:ascii="Times New Roman" w:hAnsi="Times New Roman" w:cs="Times New Roman"/>
          <w:bCs/>
          <w:sz w:val="24"/>
          <w:szCs w:val="24"/>
        </w:rPr>
        <w:t>(WANG</w:t>
      </w:r>
      <w:r w:rsidR="006C6F42" w:rsidRPr="006C6F42">
        <w:rPr>
          <w:rFonts w:ascii="Times New Roman" w:hAnsi="Times New Roman" w:cs="Times New Roman"/>
          <w:bCs/>
          <w:sz w:val="24"/>
          <w:szCs w:val="24"/>
        </w:rPr>
        <w:t xml:space="preserve"> et al.</w:t>
      </w:r>
      <w:r w:rsidRPr="006C6F42">
        <w:rPr>
          <w:rFonts w:ascii="Times New Roman" w:hAnsi="Times New Roman" w:cs="Times New Roman"/>
          <w:bCs/>
          <w:sz w:val="24"/>
          <w:szCs w:val="24"/>
        </w:rPr>
        <w:t>, 2008)</w:t>
      </w:r>
      <w:r w:rsidRPr="006C6F42">
        <w:rPr>
          <w:rFonts w:ascii="Times New Roman" w:hAnsi="Times New Roman" w:cs="Times New Roman"/>
          <w:sz w:val="24"/>
          <w:szCs w:val="24"/>
        </w:rPr>
        <w:t>. De fato, pacientes com SOP apresentam</w:t>
      </w:r>
      <w:r w:rsidR="001D0964" w:rsidRPr="006C6F42">
        <w:rPr>
          <w:rFonts w:ascii="Times New Roman" w:hAnsi="Times New Roman" w:cs="Times New Roman"/>
          <w:sz w:val="24"/>
          <w:szCs w:val="24"/>
        </w:rPr>
        <w:t xml:space="preserve"> </w:t>
      </w:r>
      <w:r w:rsidRPr="006C6F42">
        <w:rPr>
          <w:rFonts w:ascii="Times New Roman" w:hAnsi="Times New Roman" w:cs="Times New Roman"/>
          <w:sz w:val="24"/>
          <w:szCs w:val="24"/>
        </w:rPr>
        <w:t>um baixo grau de inflamação cr</w:t>
      </w:r>
      <w:r w:rsidR="001D0964" w:rsidRPr="006C6F42">
        <w:rPr>
          <w:rFonts w:ascii="Times New Roman" w:hAnsi="Times New Roman" w:cs="Times New Roman"/>
          <w:sz w:val="24"/>
          <w:szCs w:val="24"/>
        </w:rPr>
        <w:t>ô</w:t>
      </w:r>
      <w:r w:rsidRPr="006C6F42">
        <w:rPr>
          <w:rFonts w:ascii="Times New Roman" w:hAnsi="Times New Roman" w:cs="Times New Roman"/>
          <w:sz w:val="24"/>
          <w:szCs w:val="24"/>
        </w:rPr>
        <w:t>nica,</w:t>
      </w:r>
      <w:r w:rsidR="001D0964" w:rsidRPr="006C6F42">
        <w:rPr>
          <w:rFonts w:ascii="Times New Roman" w:hAnsi="Times New Roman" w:cs="Times New Roman"/>
          <w:sz w:val="24"/>
          <w:szCs w:val="24"/>
        </w:rPr>
        <w:t xml:space="preserve"> </w:t>
      </w:r>
      <w:r w:rsidRPr="006C6F42">
        <w:rPr>
          <w:rFonts w:ascii="Times New Roman" w:hAnsi="Times New Roman" w:cs="Times New Roman"/>
          <w:sz w:val="24"/>
          <w:szCs w:val="24"/>
        </w:rPr>
        <w:t>caracterizada pelo aumento na circulação de vários mediadores da inflamação em resposta a um estímulo nocivo. Eles incluem moléculas clássicas, tais como TNF, IL-1, IL-6, bem como moléculas originadas a partir da linfa</w:t>
      </w:r>
      <w:r w:rsidR="001D0964" w:rsidRPr="006C6F42">
        <w:rPr>
          <w:rFonts w:ascii="Times New Roman" w:hAnsi="Times New Roman" w:cs="Times New Roman"/>
          <w:sz w:val="24"/>
          <w:szCs w:val="24"/>
        </w:rPr>
        <w:t xml:space="preserve"> </w:t>
      </w:r>
      <w:r w:rsidRPr="006C6F42">
        <w:rPr>
          <w:rFonts w:ascii="Times New Roman" w:hAnsi="Times New Roman" w:cs="Times New Roman"/>
          <w:bCs/>
          <w:sz w:val="24"/>
          <w:szCs w:val="24"/>
        </w:rPr>
        <w:t>(REPACI</w:t>
      </w:r>
      <w:r w:rsidR="006C6F42" w:rsidRPr="006C6F42">
        <w:rPr>
          <w:rFonts w:ascii="Times New Roman" w:hAnsi="Times New Roman" w:cs="Times New Roman"/>
          <w:bCs/>
          <w:sz w:val="24"/>
          <w:szCs w:val="24"/>
        </w:rPr>
        <w:t xml:space="preserve"> et al.</w:t>
      </w:r>
      <w:r w:rsidRPr="006C6F42">
        <w:rPr>
          <w:rFonts w:ascii="Times New Roman" w:hAnsi="Times New Roman" w:cs="Times New Roman"/>
          <w:bCs/>
          <w:sz w:val="24"/>
          <w:szCs w:val="24"/>
        </w:rPr>
        <w:t>, 2011)</w:t>
      </w:r>
      <w:r w:rsidRPr="006C6F42">
        <w:rPr>
          <w:rFonts w:ascii="Times New Roman" w:hAnsi="Times New Roman" w:cs="Times New Roman"/>
          <w:sz w:val="24"/>
          <w:szCs w:val="24"/>
        </w:rPr>
        <w:t>.</w:t>
      </w:r>
      <w:r w:rsidRPr="00DE6D90">
        <w:rPr>
          <w:rFonts w:ascii="Times New Roman" w:hAnsi="Times New Roman" w:cs="Times New Roman"/>
          <w:sz w:val="24"/>
          <w:szCs w:val="24"/>
        </w:rPr>
        <w:t xml:space="preserve"> </w:t>
      </w:r>
    </w:p>
    <w:p w:rsidR="00067CDE" w:rsidRPr="00DE6D90" w:rsidRDefault="00067CDE" w:rsidP="00DE6D90">
      <w:pPr>
        <w:spacing w:line="480" w:lineRule="auto"/>
        <w:ind w:firstLine="708"/>
        <w:jc w:val="both"/>
        <w:rPr>
          <w:rFonts w:ascii="Times New Roman" w:hAnsi="Times New Roman" w:cs="Times New Roman"/>
          <w:sz w:val="24"/>
          <w:szCs w:val="24"/>
        </w:rPr>
      </w:pPr>
      <w:r w:rsidRPr="006C6F42">
        <w:rPr>
          <w:rFonts w:ascii="Times New Roman" w:hAnsi="Times New Roman" w:cs="Times New Roman"/>
          <w:sz w:val="24"/>
          <w:szCs w:val="24"/>
        </w:rPr>
        <w:t>Outro fator potencialmente relevante para o desenvolvimento das DTM em pacientes com SOP, são os fatores de risco psicossociais, relacionados à presença de estresse emocional e depressão</w:t>
      </w:r>
      <w:r w:rsidR="001D0964" w:rsidRPr="006C6F42">
        <w:rPr>
          <w:rFonts w:ascii="Times New Roman" w:hAnsi="Times New Roman" w:cs="Times New Roman"/>
          <w:sz w:val="24"/>
          <w:szCs w:val="24"/>
        </w:rPr>
        <w:t xml:space="preserve"> </w:t>
      </w:r>
      <w:r w:rsidRPr="006C6F42">
        <w:rPr>
          <w:rFonts w:ascii="Times New Roman" w:hAnsi="Times New Roman" w:cs="Times New Roman"/>
          <w:bCs/>
          <w:sz w:val="24"/>
          <w:szCs w:val="24"/>
        </w:rPr>
        <w:t>(BENSON</w:t>
      </w:r>
      <w:r w:rsidR="006C6F42" w:rsidRPr="006C6F42">
        <w:rPr>
          <w:rFonts w:ascii="Times New Roman" w:hAnsi="Times New Roman" w:cs="Times New Roman"/>
          <w:bCs/>
          <w:sz w:val="24"/>
          <w:szCs w:val="24"/>
        </w:rPr>
        <w:t xml:space="preserve"> et al.</w:t>
      </w:r>
      <w:r w:rsidRPr="006C6F42">
        <w:rPr>
          <w:rFonts w:ascii="Times New Roman" w:hAnsi="Times New Roman" w:cs="Times New Roman"/>
          <w:bCs/>
          <w:sz w:val="24"/>
          <w:szCs w:val="24"/>
        </w:rPr>
        <w:t>, 2008)</w:t>
      </w:r>
      <w:r w:rsidRPr="006C6F42">
        <w:rPr>
          <w:rFonts w:ascii="Times New Roman" w:hAnsi="Times New Roman" w:cs="Times New Roman"/>
          <w:sz w:val="24"/>
          <w:szCs w:val="24"/>
        </w:rPr>
        <w:t>. De acordo com o Consenso sobre ovário policístico realizado em 2012 em Amsterdam, foi discutido que a SOP tem um efeito negativo significativo na qualidade de vida das mulheres em comparação com indivíduos saudáveis, sendo que os problemas relacionados à obesidade têm maiores chances de afetar a qualidade de vida das mesmas.</w:t>
      </w:r>
      <w:r w:rsidR="001D0964" w:rsidRPr="006C6F42">
        <w:rPr>
          <w:rFonts w:ascii="Times New Roman" w:hAnsi="Times New Roman" w:cs="Times New Roman"/>
          <w:sz w:val="24"/>
          <w:szCs w:val="24"/>
        </w:rPr>
        <w:t xml:space="preserve"> </w:t>
      </w:r>
      <w:r w:rsidRPr="006C6F42">
        <w:rPr>
          <w:rFonts w:ascii="Times New Roman" w:hAnsi="Times New Roman" w:cs="Times New Roman"/>
          <w:sz w:val="24"/>
          <w:szCs w:val="24"/>
        </w:rPr>
        <w:t xml:space="preserve">Neste grupo de pacientes, há ainda </w:t>
      </w:r>
      <w:r w:rsidRPr="006C6F42">
        <w:rPr>
          <w:rFonts w:ascii="Times New Roman" w:hAnsi="Times New Roman" w:cs="Times New Roman"/>
          <w:sz w:val="24"/>
          <w:szCs w:val="24"/>
        </w:rPr>
        <w:lastRenderedPageBreak/>
        <w:t>risco aumentado de desenvolvimento de transtornos alimentares e disfunção sexual, devendo estas ser submetidas a triagem psicológica para melhorar o prognóstico da síndrome</w:t>
      </w:r>
      <w:r w:rsidR="00091602" w:rsidRPr="006C6F42">
        <w:rPr>
          <w:rFonts w:ascii="Times New Roman" w:hAnsi="Times New Roman" w:cs="Times New Roman"/>
          <w:sz w:val="24"/>
          <w:szCs w:val="24"/>
        </w:rPr>
        <w:t xml:space="preserve"> </w:t>
      </w:r>
      <w:r w:rsidR="006C6F42" w:rsidRPr="006C6F42">
        <w:rPr>
          <w:rFonts w:ascii="Times New Roman" w:hAnsi="Times New Roman" w:cs="Times New Roman"/>
          <w:b/>
          <w:bCs/>
          <w:sz w:val="24"/>
          <w:szCs w:val="24"/>
        </w:rPr>
        <w:t>(</w:t>
      </w:r>
      <w:r w:rsidR="006C6F42" w:rsidRPr="006C6F42">
        <w:rPr>
          <w:rFonts w:ascii="Times New Roman" w:hAnsi="Times New Roman" w:cs="Times New Roman"/>
          <w:sz w:val="24"/>
          <w:szCs w:val="24"/>
          <w:lang w:val="en-US"/>
        </w:rPr>
        <w:t>FAUSER et al., 2012</w:t>
      </w:r>
      <w:r w:rsidR="006C6F42" w:rsidRPr="006C6F42">
        <w:rPr>
          <w:rFonts w:ascii="Times New Roman" w:hAnsi="Times New Roman" w:cs="Times New Roman"/>
          <w:b/>
          <w:bCs/>
          <w:sz w:val="24"/>
          <w:szCs w:val="24"/>
        </w:rPr>
        <w:t>)</w:t>
      </w:r>
      <w:r w:rsidRPr="006C6F42">
        <w:rPr>
          <w:rFonts w:ascii="Times New Roman" w:hAnsi="Times New Roman" w:cs="Times New Roman"/>
          <w:sz w:val="24"/>
          <w:szCs w:val="24"/>
        </w:rPr>
        <w:t>.</w:t>
      </w:r>
    </w:p>
    <w:p w:rsidR="00067CDE" w:rsidRPr="00DE6D90" w:rsidRDefault="00067CDE" w:rsidP="00DE6D90">
      <w:pPr>
        <w:spacing w:line="480" w:lineRule="auto"/>
        <w:ind w:firstLine="708"/>
        <w:jc w:val="both"/>
        <w:rPr>
          <w:rFonts w:ascii="Times New Roman" w:hAnsi="Times New Roman" w:cs="Times New Roman"/>
          <w:sz w:val="24"/>
          <w:szCs w:val="24"/>
        </w:rPr>
      </w:pPr>
      <w:r w:rsidRPr="006C6F42">
        <w:rPr>
          <w:rFonts w:ascii="Times New Roman" w:hAnsi="Times New Roman" w:cs="Times New Roman"/>
          <w:sz w:val="24"/>
          <w:szCs w:val="24"/>
        </w:rPr>
        <w:t xml:space="preserve">Baseando-se no fato de que a estabilidade de diversas articulações é diretamente influenciada por hormônios locais e sistêmicos, e que o estrogênio influencia no desenvolvimento de quadros de </w:t>
      </w:r>
      <w:proofErr w:type="spellStart"/>
      <w:r w:rsidRPr="006C6F42">
        <w:rPr>
          <w:rFonts w:ascii="Times New Roman" w:hAnsi="Times New Roman" w:cs="Times New Roman"/>
          <w:sz w:val="24"/>
          <w:szCs w:val="24"/>
        </w:rPr>
        <w:t>osteoartrites</w:t>
      </w:r>
      <w:proofErr w:type="spellEnd"/>
      <w:r w:rsidR="006C6F42" w:rsidRPr="006C6F42">
        <w:rPr>
          <w:rFonts w:ascii="Times New Roman" w:hAnsi="Times New Roman" w:cs="Times New Roman"/>
          <w:b/>
          <w:bCs/>
          <w:sz w:val="24"/>
          <w:szCs w:val="24"/>
        </w:rPr>
        <w:t xml:space="preserve"> </w:t>
      </w:r>
      <w:r w:rsidR="006C6F42" w:rsidRPr="006C6F42">
        <w:rPr>
          <w:rFonts w:ascii="Times New Roman" w:hAnsi="Times New Roman" w:cs="Times New Roman"/>
          <w:bCs/>
          <w:sz w:val="24"/>
          <w:szCs w:val="24"/>
        </w:rPr>
        <w:t xml:space="preserve">(KRAMER; </w:t>
      </w:r>
      <w:r w:rsidR="006C6F42" w:rsidRPr="006C6F42">
        <w:rPr>
          <w:rFonts w:ascii="Times New Roman" w:hAnsi="Times New Roman" w:cs="Times New Roman"/>
          <w:sz w:val="24"/>
          <w:szCs w:val="24"/>
          <w:lang w:val="en-US"/>
        </w:rPr>
        <w:t>BELLINGER,</w:t>
      </w:r>
      <w:r w:rsidRPr="006C6F42">
        <w:rPr>
          <w:rFonts w:ascii="Times New Roman" w:hAnsi="Times New Roman" w:cs="Times New Roman"/>
          <w:bCs/>
          <w:sz w:val="24"/>
          <w:szCs w:val="24"/>
        </w:rPr>
        <w:t xml:space="preserve"> 2012)</w:t>
      </w:r>
      <w:r w:rsidRPr="006C6F42">
        <w:rPr>
          <w:rFonts w:ascii="Times New Roman" w:hAnsi="Times New Roman" w:cs="Times New Roman"/>
          <w:b/>
          <w:bCs/>
          <w:sz w:val="24"/>
          <w:szCs w:val="24"/>
        </w:rPr>
        <w:t>,</w:t>
      </w:r>
      <w:r w:rsidRPr="006C6F42">
        <w:rPr>
          <w:rFonts w:ascii="Times New Roman" w:hAnsi="Times New Roman" w:cs="Times New Roman"/>
          <w:sz w:val="24"/>
          <w:szCs w:val="24"/>
        </w:rPr>
        <w:t xml:space="preserve"> mecanismos sensoriais</w:t>
      </w:r>
      <w:r w:rsidR="006C6F42" w:rsidRPr="006C6F42">
        <w:rPr>
          <w:rFonts w:ascii="Times New Roman" w:hAnsi="Times New Roman" w:cs="Times New Roman"/>
          <w:sz w:val="24"/>
          <w:szCs w:val="24"/>
        </w:rPr>
        <w:t xml:space="preserve"> </w:t>
      </w:r>
      <w:r w:rsidRPr="006C6F42">
        <w:rPr>
          <w:rFonts w:ascii="Times New Roman" w:hAnsi="Times New Roman" w:cs="Times New Roman"/>
          <w:bCs/>
          <w:sz w:val="24"/>
          <w:szCs w:val="24"/>
        </w:rPr>
        <w:t>(LIANG</w:t>
      </w:r>
      <w:r w:rsidR="006C6F42" w:rsidRPr="006C6F42">
        <w:rPr>
          <w:rFonts w:ascii="Times New Roman" w:hAnsi="Times New Roman" w:cs="Times New Roman"/>
          <w:bCs/>
          <w:sz w:val="24"/>
          <w:szCs w:val="24"/>
        </w:rPr>
        <w:t xml:space="preserve"> et al.</w:t>
      </w:r>
      <w:r w:rsidRPr="006C6F42">
        <w:rPr>
          <w:rFonts w:ascii="Times New Roman" w:hAnsi="Times New Roman" w:cs="Times New Roman"/>
          <w:bCs/>
          <w:sz w:val="24"/>
          <w:szCs w:val="24"/>
        </w:rPr>
        <w:t>, 2012)</w:t>
      </w:r>
      <w:r w:rsidRPr="006C6F42">
        <w:rPr>
          <w:rFonts w:ascii="Times New Roman" w:hAnsi="Times New Roman" w:cs="Times New Roman"/>
          <w:b/>
          <w:bCs/>
          <w:sz w:val="24"/>
          <w:szCs w:val="24"/>
        </w:rPr>
        <w:t>,</w:t>
      </w:r>
      <w:r w:rsidRPr="006C6F42">
        <w:rPr>
          <w:rFonts w:ascii="Times New Roman" w:hAnsi="Times New Roman" w:cs="Times New Roman"/>
          <w:sz w:val="24"/>
          <w:szCs w:val="24"/>
        </w:rPr>
        <w:t xml:space="preserve"> inflamação e hipersensibilidade </w:t>
      </w:r>
      <w:r w:rsidR="006C6F42" w:rsidRPr="006C6F42">
        <w:rPr>
          <w:rFonts w:ascii="Times New Roman" w:hAnsi="Times New Roman" w:cs="Times New Roman"/>
          <w:bCs/>
          <w:sz w:val="24"/>
          <w:szCs w:val="24"/>
        </w:rPr>
        <w:t xml:space="preserve">(KRAMER; </w:t>
      </w:r>
      <w:r w:rsidR="006C6F42" w:rsidRPr="006C6F42">
        <w:rPr>
          <w:rFonts w:ascii="Times New Roman" w:hAnsi="Times New Roman" w:cs="Times New Roman"/>
          <w:sz w:val="24"/>
          <w:szCs w:val="24"/>
          <w:lang w:val="en-US"/>
        </w:rPr>
        <w:t>BELLINGER,</w:t>
      </w:r>
      <w:r w:rsidR="006C6F42" w:rsidRPr="006C6F42">
        <w:rPr>
          <w:rFonts w:ascii="Times New Roman" w:hAnsi="Times New Roman" w:cs="Times New Roman"/>
          <w:bCs/>
          <w:sz w:val="24"/>
          <w:szCs w:val="24"/>
        </w:rPr>
        <w:t xml:space="preserve"> 2012)</w:t>
      </w:r>
      <w:r w:rsidRPr="006C6F42">
        <w:rPr>
          <w:rFonts w:ascii="Times New Roman" w:hAnsi="Times New Roman" w:cs="Times New Roman"/>
          <w:b/>
          <w:bCs/>
          <w:sz w:val="24"/>
          <w:szCs w:val="24"/>
        </w:rPr>
        <w:t>,</w:t>
      </w:r>
      <w:r w:rsidRPr="006C6F42">
        <w:rPr>
          <w:rFonts w:ascii="Times New Roman" w:hAnsi="Times New Roman" w:cs="Times New Roman"/>
          <w:sz w:val="24"/>
          <w:szCs w:val="24"/>
        </w:rPr>
        <w:t xml:space="preserve"> e diversas condições crônicas de dor</w:t>
      </w:r>
      <w:r w:rsidR="006C6F42" w:rsidRPr="006C6F42">
        <w:rPr>
          <w:rFonts w:ascii="Times New Roman" w:hAnsi="Times New Roman" w:cs="Times New Roman"/>
          <w:sz w:val="24"/>
          <w:szCs w:val="24"/>
        </w:rPr>
        <w:t xml:space="preserve"> </w:t>
      </w:r>
      <w:r w:rsidRPr="006C6F42">
        <w:rPr>
          <w:rFonts w:ascii="Times New Roman" w:hAnsi="Times New Roman" w:cs="Times New Roman"/>
          <w:bCs/>
          <w:sz w:val="24"/>
          <w:szCs w:val="24"/>
        </w:rPr>
        <w:t>(</w:t>
      </w:r>
      <w:r w:rsidR="006C6F42" w:rsidRPr="006C6F42">
        <w:rPr>
          <w:rFonts w:ascii="Times New Roman" w:hAnsi="Times New Roman" w:cs="Times New Roman"/>
          <w:bCs/>
          <w:sz w:val="24"/>
          <w:szCs w:val="24"/>
        </w:rPr>
        <w:t xml:space="preserve">COLLINS; </w:t>
      </w:r>
      <w:r w:rsidR="006C6F42" w:rsidRPr="006C6F42">
        <w:rPr>
          <w:rFonts w:ascii="Times New Roman" w:hAnsi="Times New Roman" w:cs="Times New Roman"/>
          <w:sz w:val="24"/>
          <w:szCs w:val="24"/>
          <w:lang w:val="en-US"/>
        </w:rPr>
        <w:t>RALEIGH,</w:t>
      </w:r>
      <w:r w:rsidRPr="006C6F42">
        <w:rPr>
          <w:rFonts w:ascii="Times New Roman" w:hAnsi="Times New Roman" w:cs="Times New Roman"/>
          <w:bCs/>
          <w:sz w:val="24"/>
          <w:szCs w:val="24"/>
        </w:rPr>
        <w:t xml:space="preserve"> 2009)</w:t>
      </w:r>
      <w:r w:rsidRPr="006C6F42">
        <w:rPr>
          <w:rFonts w:ascii="Times New Roman" w:hAnsi="Times New Roman" w:cs="Times New Roman"/>
          <w:sz w:val="24"/>
          <w:szCs w:val="24"/>
        </w:rPr>
        <w:t xml:space="preserve">, acredita-se que a presença da síndrome do ovário policístico, possa acarretar prejuízos às estruturas orofaciais, em especial à articulação </w:t>
      </w:r>
      <w:proofErr w:type="spellStart"/>
      <w:r w:rsidRPr="006C6F42">
        <w:rPr>
          <w:rFonts w:ascii="Times New Roman" w:hAnsi="Times New Roman" w:cs="Times New Roman"/>
          <w:sz w:val="24"/>
          <w:szCs w:val="24"/>
        </w:rPr>
        <w:t>temporomandibular</w:t>
      </w:r>
      <w:proofErr w:type="spellEnd"/>
      <w:r w:rsidRPr="006C6F42">
        <w:rPr>
          <w:rFonts w:ascii="Times New Roman" w:hAnsi="Times New Roman" w:cs="Times New Roman"/>
          <w:sz w:val="24"/>
          <w:szCs w:val="24"/>
        </w:rPr>
        <w:t xml:space="preserve"> e estruturas associadas.</w:t>
      </w:r>
      <w:r w:rsidRPr="00DE6D90">
        <w:rPr>
          <w:rFonts w:ascii="Times New Roman" w:hAnsi="Times New Roman" w:cs="Times New Roman"/>
          <w:sz w:val="24"/>
          <w:szCs w:val="24"/>
        </w:rPr>
        <w:t xml:space="preserve"> </w:t>
      </w: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Com isso, o objetivo do presente estudo foi avaliar a prevalência de desordens </w:t>
      </w:r>
      <w:proofErr w:type="spellStart"/>
      <w:r w:rsidRPr="00DE6D90">
        <w:rPr>
          <w:rFonts w:ascii="Times New Roman" w:hAnsi="Times New Roman" w:cs="Times New Roman"/>
          <w:sz w:val="24"/>
          <w:szCs w:val="24"/>
        </w:rPr>
        <w:t>temporomandibulares</w:t>
      </w:r>
      <w:proofErr w:type="spellEnd"/>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em mulheres diagnosticadas com a síndrome do ovário policístico, analisando o impacto da dor em relação aos fatores psicossociais das mesmas.</w:t>
      </w:r>
    </w:p>
    <w:p w:rsidR="00067CDE" w:rsidRPr="00DE6D90" w:rsidRDefault="00067CDE" w:rsidP="00DE6D90">
      <w:pPr>
        <w:pStyle w:val="Ttulo2"/>
        <w:spacing w:line="480" w:lineRule="auto"/>
        <w:ind w:firstLine="851"/>
        <w:jc w:val="both"/>
        <w:rPr>
          <w:rFonts w:ascii="Times New Roman" w:hAnsi="Times New Roman" w:cs="Times New Roman"/>
          <w:b/>
          <w:bCs/>
        </w:rPr>
      </w:pPr>
    </w:p>
    <w:p w:rsidR="00B56B46" w:rsidRPr="00D456BB" w:rsidRDefault="00402E82" w:rsidP="00B56B46">
      <w:pPr>
        <w:tabs>
          <w:tab w:val="left" w:pos="900"/>
        </w:tabs>
        <w:suppressAutoHyphens/>
        <w:jc w:val="both"/>
        <w:rPr>
          <w:color w:val="000000"/>
        </w:rPr>
      </w:pPr>
      <w:r w:rsidRPr="00402E82">
        <w:rPr>
          <w:rFonts w:ascii="Times New Roman" w:hAnsi="Times New Roman" w:cs="Times New Roman"/>
          <w:bCs/>
        </w:rPr>
        <w:t>2</w:t>
      </w:r>
      <w:r>
        <w:rPr>
          <w:rFonts w:ascii="Times New Roman" w:hAnsi="Times New Roman" w:cs="Times New Roman"/>
          <w:b/>
          <w:bCs/>
        </w:rPr>
        <w:t xml:space="preserve"> </w:t>
      </w:r>
      <w:r w:rsidR="00067CDE" w:rsidRPr="00DE6D90">
        <w:rPr>
          <w:rFonts w:ascii="Times New Roman" w:hAnsi="Times New Roman" w:cs="Times New Roman"/>
          <w:b/>
          <w:bCs/>
        </w:rPr>
        <w:t>MATERIAL E MÉTODOS</w:t>
      </w:r>
      <w:r w:rsidR="00B56B46">
        <w:rPr>
          <w:rFonts w:ascii="Times New Roman" w:hAnsi="Times New Roman" w:cs="Times New Roman"/>
          <w:b/>
          <w:bCs/>
        </w:rPr>
        <w:t xml:space="preserve"> </w:t>
      </w:r>
    </w:p>
    <w:p w:rsidR="00067CDE" w:rsidRPr="00DE6D90" w:rsidRDefault="00067CDE" w:rsidP="0079091C">
      <w:pPr>
        <w:pStyle w:val="Ttulo2"/>
        <w:spacing w:after="120" w:line="480" w:lineRule="auto"/>
        <w:ind w:firstLine="851"/>
        <w:jc w:val="both"/>
        <w:rPr>
          <w:rFonts w:ascii="Times New Roman" w:hAnsi="Times New Roman" w:cs="Times New Roman"/>
          <w:b/>
          <w:bCs/>
        </w:rPr>
      </w:pPr>
    </w:p>
    <w:p w:rsidR="00067CDE" w:rsidRPr="00402E82" w:rsidRDefault="00402E82" w:rsidP="0079091C">
      <w:pPr>
        <w:tabs>
          <w:tab w:val="left" w:pos="851"/>
        </w:tabs>
        <w:suppressAutoHyphen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67CDE" w:rsidRPr="00DE6D90">
        <w:rPr>
          <w:rFonts w:ascii="Times New Roman" w:hAnsi="Times New Roman" w:cs="Times New Roman"/>
          <w:sz w:val="24"/>
          <w:szCs w:val="24"/>
        </w:rPr>
        <w:t>Trata-se de um estudo descritivo observacional transversal, aprovado pelo Comitê de Ética em Pesquisa da Universidade Federal de Juiz de For</w:t>
      </w:r>
      <w:r>
        <w:rPr>
          <w:rFonts w:ascii="Times New Roman" w:hAnsi="Times New Roman" w:cs="Times New Roman"/>
          <w:sz w:val="24"/>
          <w:szCs w:val="24"/>
        </w:rPr>
        <w:t xml:space="preserve">a </w:t>
      </w:r>
      <w:r w:rsidR="000920C7">
        <w:rPr>
          <w:rFonts w:ascii="Times New Roman" w:hAnsi="Times New Roman" w:cs="Times New Roman"/>
          <w:sz w:val="24"/>
          <w:szCs w:val="24"/>
        </w:rPr>
        <w:t>(</w:t>
      </w:r>
      <w:r>
        <w:rPr>
          <w:rFonts w:ascii="Times New Roman" w:hAnsi="Times New Roman" w:cs="Times New Roman"/>
          <w:sz w:val="24"/>
          <w:szCs w:val="24"/>
        </w:rPr>
        <w:t>parecer número 932.702/2015</w:t>
      </w:r>
      <w:r w:rsidR="000920C7">
        <w:rPr>
          <w:rFonts w:ascii="Times New Roman" w:hAnsi="Times New Roman" w:cs="Times New Roman"/>
          <w:sz w:val="24"/>
          <w:szCs w:val="24"/>
        </w:rPr>
        <w:t>)</w:t>
      </w:r>
      <w:r w:rsidR="00B56B46" w:rsidRPr="00402E82">
        <w:rPr>
          <w:rFonts w:ascii="Times New Roman" w:hAnsi="Times New Roman" w:cs="Times New Roman"/>
          <w:sz w:val="24"/>
          <w:szCs w:val="24"/>
        </w:rPr>
        <w:t>.</w:t>
      </w:r>
      <w:r w:rsidR="0072588E">
        <w:rPr>
          <w:rFonts w:ascii="Times New Roman" w:hAnsi="Times New Roman" w:cs="Times New Roman"/>
          <w:sz w:val="24"/>
          <w:szCs w:val="24"/>
        </w:rPr>
        <w:t xml:space="preserve"> </w:t>
      </w:r>
      <w:r w:rsidR="00067CDE" w:rsidRPr="00DE6D90">
        <w:rPr>
          <w:rFonts w:ascii="Times New Roman" w:hAnsi="Times New Roman" w:cs="Times New Roman"/>
          <w:sz w:val="24"/>
          <w:szCs w:val="24"/>
        </w:rPr>
        <w:t>O consentimento de participação dos pacientes foi registrado em termo assinado anteriormente à execução da pesquisa.</w:t>
      </w: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sz w:val="24"/>
          <w:szCs w:val="24"/>
        </w:rPr>
      </w:pPr>
      <w:r w:rsidRPr="00DE6D90">
        <w:rPr>
          <w:rFonts w:ascii="Times New Roman" w:hAnsi="Times New Roman" w:cs="Times New Roman"/>
          <w:sz w:val="24"/>
          <w:szCs w:val="24"/>
        </w:rPr>
        <w:t>A composição da amostra contou com a participação de pacientes atendidas no setor de Ginecologia do hospital Universitário da Universidade Federal de Ju</w:t>
      </w:r>
      <w:bookmarkStart w:id="0" w:name="_GoBack"/>
      <w:bookmarkEnd w:id="0"/>
      <w:r w:rsidRPr="00DE6D90">
        <w:rPr>
          <w:rFonts w:ascii="Times New Roman" w:hAnsi="Times New Roman" w:cs="Times New Roman"/>
          <w:sz w:val="24"/>
          <w:szCs w:val="24"/>
        </w:rPr>
        <w:t xml:space="preserve">iz de Fora </w:t>
      </w:r>
      <w:r w:rsidRPr="00DE6D90">
        <w:rPr>
          <w:rFonts w:ascii="Times New Roman" w:hAnsi="Times New Roman" w:cs="Times New Roman"/>
          <w:sz w:val="24"/>
          <w:szCs w:val="24"/>
        </w:rPr>
        <w:lastRenderedPageBreak/>
        <w:t xml:space="preserve">(HU/CAS) e alunas da Faculdade de Odontologia desta mesma instituição. Puderam participar da pesquisa mulheres entre 18 e 40 anos, com diagnóstico prévio da Síndrome do Ovário Policístico realizado por médico especialista.  Foram excluídas da pesquisa </w:t>
      </w:r>
      <w:proofErr w:type="gramStart"/>
      <w:r w:rsidRPr="00DE6D90">
        <w:rPr>
          <w:rFonts w:ascii="Times New Roman" w:hAnsi="Times New Roman" w:cs="Times New Roman"/>
          <w:sz w:val="24"/>
          <w:szCs w:val="24"/>
        </w:rPr>
        <w:t>aquelas</w:t>
      </w:r>
      <w:proofErr w:type="gramEnd"/>
      <w:r w:rsidRPr="00DE6D90">
        <w:rPr>
          <w:rFonts w:ascii="Times New Roman" w:hAnsi="Times New Roman" w:cs="Times New Roman"/>
          <w:sz w:val="24"/>
          <w:szCs w:val="24"/>
        </w:rPr>
        <w:t xml:space="preserve"> que possuíam doenças cardiovasculares, fibromialgia e artrite reumatoide; mulheres que possuíam síndromes craniofaciais; que já tivessem realizado tratamento prévio para as DTM, e também que já tivessem sofrido algum traumatismo craniofacial e/ou realizado cirurgias envolvendo esta região </w:t>
      </w:r>
      <w:r w:rsidRPr="004B3189">
        <w:rPr>
          <w:rFonts w:ascii="Times New Roman" w:hAnsi="Times New Roman" w:cs="Times New Roman"/>
          <w:bCs/>
          <w:sz w:val="24"/>
          <w:szCs w:val="24"/>
        </w:rPr>
        <w:t>(SOYDAN</w:t>
      </w:r>
      <w:r w:rsidR="004B3189" w:rsidRPr="004B3189">
        <w:rPr>
          <w:rFonts w:ascii="Times New Roman" w:hAnsi="Times New Roman" w:cs="Times New Roman"/>
          <w:bCs/>
          <w:sz w:val="24"/>
          <w:szCs w:val="24"/>
        </w:rPr>
        <w:t xml:space="preserve"> et al.</w:t>
      </w:r>
      <w:r w:rsidRPr="004B3189">
        <w:rPr>
          <w:rFonts w:ascii="Times New Roman" w:hAnsi="Times New Roman" w:cs="Times New Roman"/>
          <w:bCs/>
          <w:sz w:val="24"/>
          <w:szCs w:val="24"/>
        </w:rPr>
        <w:t>, 2014)</w:t>
      </w:r>
      <w:r w:rsidRPr="00DE6D90">
        <w:rPr>
          <w:rFonts w:ascii="Times New Roman" w:hAnsi="Times New Roman" w:cs="Times New Roman"/>
          <w:sz w:val="24"/>
          <w:szCs w:val="24"/>
        </w:rPr>
        <w:t xml:space="preserve">. </w:t>
      </w: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sz w:val="24"/>
          <w:szCs w:val="24"/>
        </w:rPr>
      </w:pPr>
      <w:r w:rsidRPr="00DE6D90">
        <w:rPr>
          <w:rFonts w:ascii="Times New Roman" w:hAnsi="Times New Roman" w:cs="Times New Roman"/>
          <w:sz w:val="24"/>
          <w:szCs w:val="24"/>
        </w:rPr>
        <w:t>Uma ficha de avaliação contendo os dados das participantes foi utilizada, sendo que após o preenchimento da mesma, duas etapas foram seguidas:</w:t>
      </w: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sz w:val="24"/>
          <w:szCs w:val="24"/>
        </w:rPr>
      </w:pP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sz w:val="24"/>
          <w:szCs w:val="24"/>
        </w:rPr>
      </w:pPr>
      <w:r w:rsidRPr="00DE6D90">
        <w:rPr>
          <w:rFonts w:ascii="Times New Roman" w:hAnsi="Times New Roman" w:cs="Times New Roman"/>
          <w:sz w:val="24"/>
          <w:szCs w:val="24"/>
        </w:rPr>
        <w:t>1ª etapa – Diagnóstico clínico das DTM</w:t>
      </w:r>
    </w:p>
    <w:p w:rsidR="00067CDE" w:rsidRPr="00DE6D90" w:rsidRDefault="00067CDE" w:rsidP="00B21BC4">
      <w:pPr>
        <w:suppressAutoHyphens/>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A utilização do </w:t>
      </w:r>
      <w:proofErr w:type="spellStart"/>
      <w:r w:rsidRPr="00402E82">
        <w:rPr>
          <w:rFonts w:ascii="Times New Roman" w:hAnsi="Times New Roman" w:cs="Times New Roman"/>
          <w:sz w:val="24"/>
          <w:szCs w:val="24"/>
        </w:rPr>
        <w:t>Research</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Diagnostic</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Criteria</w:t>
      </w:r>
      <w:proofErr w:type="spellEnd"/>
      <w:r w:rsidRPr="00402E82">
        <w:rPr>
          <w:rFonts w:ascii="Times New Roman" w:hAnsi="Times New Roman" w:cs="Times New Roman"/>
          <w:sz w:val="24"/>
          <w:szCs w:val="24"/>
        </w:rPr>
        <w:t xml:space="preserve"> for </w:t>
      </w:r>
      <w:proofErr w:type="spellStart"/>
      <w:r w:rsidRPr="00402E82">
        <w:rPr>
          <w:rFonts w:ascii="Times New Roman" w:hAnsi="Times New Roman" w:cs="Times New Roman"/>
          <w:sz w:val="24"/>
          <w:szCs w:val="24"/>
        </w:rPr>
        <w:t>Temporomandibular</w:t>
      </w:r>
      <w:proofErr w:type="spellEnd"/>
      <w:r w:rsidRPr="00402E82">
        <w:rPr>
          <w:rFonts w:ascii="Times New Roman" w:hAnsi="Times New Roman" w:cs="Times New Roman"/>
          <w:sz w:val="24"/>
          <w:szCs w:val="24"/>
        </w:rPr>
        <w:t xml:space="preserve"> </w:t>
      </w:r>
      <w:proofErr w:type="spellStart"/>
      <w:proofErr w:type="gramStart"/>
      <w:r w:rsidRPr="00402E82">
        <w:rPr>
          <w:rFonts w:ascii="Times New Roman" w:hAnsi="Times New Roman" w:cs="Times New Roman"/>
          <w:sz w:val="24"/>
          <w:szCs w:val="24"/>
        </w:rPr>
        <w:t>Disorders</w:t>
      </w:r>
      <w:proofErr w:type="spellEnd"/>
      <w:r w:rsidR="00B56B46" w:rsidRPr="00D456BB">
        <w:rPr>
          <w:color w:val="000000"/>
        </w:rPr>
        <w:t xml:space="preserve">,  </w:t>
      </w:r>
      <w:r w:rsidRPr="00DE6D90">
        <w:rPr>
          <w:rFonts w:ascii="Times New Roman" w:hAnsi="Times New Roman" w:cs="Times New Roman"/>
          <w:sz w:val="24"/>
          <w:szCs w:val="24"/>
        </w:rPr>
        <w:t xml:space="preserve"> </w:t>
      </w:r>
      <w:proofErr w:type="gramEnd"/>
      <w:r w:rsidRPr="00DE6D90">
        <w:rPr>
          <w:rFonts w:ascii="Times New Roman" w:hAnsi="Times New Roman" w:cs="Times New Roman"/>
          <w:sz w:val="24"/>
          <w:szCs w:val="24"/>
        </w:rPr>
        <w:t>(RDC/TMD) - Eixo I</w:t>
      </w:r>
      <w:r w:rsidR="001D0964" w:rsidRPr="00DE6D90">
        <w:rPr>
          <w:rFonts w:ascii="Times New Roman" w:hAnsi="Times New Roman" w:cs="Times New Roman"/>
          <w:sz w:val="24"/>
          <w:szCs w:val="24"/>
        </w:rPr>
        <w:t xml:space="preserve"> </w:t>
      </w:r>
      <w:r w:rsidR="004B3189">
        <w:rPr>
          <w:rFonts w:ascii="Times New Roman" w:hAnsi="Times New Roman" w:cs="Times New Roman"/>
          <w:b/>
          <w:bCs/>
          <w:sz w:val="24"/>
          <w:szCs w:val="24"/>
        </w:rPr>
        <w:t>(</w:t>
      </w:r>
      <w:r w:rsidR="004B3189" w:rsidRPr="004B3189">
        <w:rPr>
          <w:rFonts w:ascii="Times New Roman" w:hAnsi="Times New Roman" w:cs="Times New Roman"/>
          <w:bCs/>
          <w:sz w:val="24"/>
          <w:szCs w:val="24"/>
        </w:rPr>
        <w:t>DWORKING;</w:t>
      </w:r>
      <w:r w:rsidR="004B3189">
        <w:rPr>
          <w:rFonts w:ascii="Times New Roman" w:hAnsi="Times New Roman" w:cs="Times New Roman"/>
          <w:b/>
          <w:bCs/>
          <w:sz w:val="24"/>
          <w:szCs w:val="24"/>
        </w:rPr>
        <w:t xml:space="preserve"> </w:t>
      </w:r>
      <w:r w:rsidR="004B3189" w:rsidRPr="00582231">
        <w:rPr>
          <w:rFonts w:ascii="Times New Roman" w:hAnsi="Times New Roman" w:cs="Times New Roman"/>
          <w:sz w:val="24"/>
          <w:szCs w:val="24"/>
        </w:rPr>
        <w:t>LERESCHE</w:t>
      </w:r>
      <w:r w:rsidRPr="00DE6D90">
        <w:rPr>
          <w:rFonts w:ascii="Times New Roman" w:hAnsi="Times New Roman" w:cs="Times New Roman"/>
          <w:b/>
          <w:bCs/>
          <w:sz w:val="24"/>
          <w:szCs w:val="24"/>
        </w:rPr>
        <w:t xml:space="preserve"> </w:t>
      </w:r>
      <w:r w:rsidRPr="004B3189">
        <w:rPr>
          <w:rFonts w:ascii="Times New Roman" w:hAnsi="Times New Roman" w:cs="Times New Roman"/>
          <w:bCs/>
          <w:sz w:val="24"/>
          <w:szCs w:val="24"/>
        </w:rPr>
        <w:t>1992; Pereira Jr</w:t>
      </w:r>
      <w:r w:rsidR="004B3189" w:rsidRPr="004B3189">
        <w:rPr>
          <w:rFonts w:ascii="Times New Roman" w:hAnsi="Times New Roman" w:cs="Times New Roman"/>
          <w:bCs/>
          <w:sz w:val="24"/>
          <w:szCs w:val="24"/>
        </w:rPr>
        <w:t>. et al.</w:t>
      </w:r>
      <w:r w:rsidRPr="004B3189">
        <w:rPr>
          <w:rFonts w:ascii="Times New Roman" w:hAnsi="Times New Roman" w:cs="Times New Roman"/>
          <w:bCs/>
          <w:sz w:val="24"/>
          <w:szCs w:val="24"/>
        </w:rPr>
        <w:t>, 2004)</w:t>
      </w:r>
      <w:r w:rsidRPr="00DE6D90">
        <w:rPr>
          <w:rFonts w:ascii="Times New Roman" w:hAnsi="Times New Roman" w:cs="Times New Roman"/>
          <w:sz w:val="24"/>
          <w:szCs w:val="24"/>
        </w:rPr>
        <w:t>, padrão-ouro para diagnóstico das DTM, possibilitou verificar se as participantes possuíam algum tipo de DTM, assim como classificá-las de acordo com seu tipo: 1) alterações musculares; 2) alterações de posição do disco articular e 3) condições álgicas e degenerativas da ATM. O questionário foi aplicado em todos os participantes por um único examinador treinado.</w:t>
      </w: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sz w:val="24"/>
          <w:szCs w:val="24"/>
        </w:rPr>
      </w:pP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sz w:val="24"/>
          <w:szCs w:val="24"/>
        </w:rPr>
      </w:pPr>
      <w:r w:rsidRPr="00DE6D90">
        <w:rPr>
          <w:rFonts w:ascii="Times New Roman" w:hAnsi="Times New Roman" w:cs="Times New Roman"/>
          <w:sz w:val="24"/>
          <w:szCs w:val="24"/>
        </w:rPr>
        <w:t>2ª etapa – Avaliação do impacto da dor na qualidade de vida</w:t>
      </w: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color w:val="FF0000"/>
          <w:sz w:val="24"/>
          <w:szCs w:val="24"/>
        </w:rPr>
      </w:pPr>
      <w:r w:rsidRPr="00DE6D90">
        <w:rPr>
          <w:rFonts w:ascii="Times New Roman" w:hAnsi="Times New Roman" w:cs="Times New Roman"/>
          <w:sz w:val="24"/>
          <w:szCs w:val="24"/>
        </w:rPr>
        <w:t>Foi utilizado o eixo II do RDC/TMD. Este questionário</w:t>
      </w:r>
      <w:r w:rsidRPr="00DE6D90">
        <w:rPr>
          <w:rFonts w:ascii="Times New Roman" w:hAnsi="Times New Roman" w:cs="Times New Roman"/>
          <w:sz w:val="24"/>
          <w:szCs w:val="24"/>
        </w:rPr>
        <w:br/>
        <w:t>investiga os aspectos psicológicos e psicossociais, objetivando a graduação da gravidade</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da dor crônica e dos níveis de sintomas depressivos e</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físicos não específicos apresentados pelos pacientes com DTM dolorosas. A aquisição de informação quantitativa das </w:t>
      </w:r>
      <w:r w:rsidRPr="00DE6D90">
        <w:rPr>
          <w:rFonts w:ascii="Times New Roman" w:hAnsi="Times New Roman" w:cs="Times New Roman"/>
          <w:sz w:val="24"/>
          <w:szCs w:val="24"/>
        </w:rPr>
        <w:lastRenderedPageBreak/>
        <w:t>categorias</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sensorial e reacional da dor permitem uma satisfatória</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representação da dor vivenciada pelo paciente. </w:t>
      </w:r>
    </w:p>
    <w:p w:rsidR="00067CDE" w:rsidRPr="00DE6D90" w:rsidRDefault="00067CDE" w:rsidP="00DE6D90">
      <w:pPr>
        <w:autoSpaceDE w:val="0"/>
        <w:autoSpaceDN w:val="0"/>
        <w:adjustRightInd w:val="0"/>
        <w:spacing w:after="0" w:line="480" w:lineRule="auto"/>
        <w:ind w:firstLine="851"/>
        <w:jc w:val="both"/>
        <w:rPr>
          <w:rFonts w:ascii="Times New Roman" w:hAnsi="Times New Roman" w:cs="Times New Roman"/>
          <w:sz w:val="24"/>
          <w:szCs w:val="24"/>
        </w:rPr>
      </w:pPr>
      <w:r w:rsidRPr="00DE6D90">
        <w:rPr>
          <w:rFonts w:ascii="Times New Roman" w:hAnsi="Times New Roman" w:cs="Times New Roman"/>
          <w:sz w:val="24"/>
          <w:szCs w:val="24"/>
        </w:rPr>
        <w:t>Em relação a graduação</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da intensidade de dor orofacial crônica, o questionário classifica os participantes em: grau 0: sem dor de DTM nos seis meses prévios; grau I: baixa incapacidade e intensidade; grau II: baixa incapacidade e alta intensidade; grau III: alta incapacidade e limitação moderada; e grau IV: alta incapacidade e limitação severa. De acordo com a presença de sintomas depressivos e físicos não específicos os resultados são classificados em normal, moderado ou severo, de acordo com as recomendações de </w:t>
      </w:r>
      <w:proofErr w:type="spellStart"/>
      <w:r w:rsidRPr="004B3189">
        <w:rPr>
          <w:rFonts w:ascii="Times New Roman" w:hAnsi="Times New Roman" w:cs="Times New Roman"/>
          <w:bCs/>
          <w:sz w:val="24"/>
          <w:szCs w:val="24"/>
        </w:rPr>
        <w:t>Dworkin</w:t>
      </w:r>
      <w:proofErr w:type="spellEnd"/>
      <w:r w:rsidRPr="004B3189">
        <w:rPr>
          <w:rFonts w:ascii="Times New Roman" w:hAnsi="Times New Roman" w:cs="Times New Roman"/>
          <w:bCs/>
          <w:sz w:val="24"/>
          <w:szCs w:val="24"/>
        </w:rPr>
        <w:t xml:space="preserve"> e </w:t>
      </w:r>
      <w:proofErr w:type="spellStart"/>
      <w:r w:rsidRPr="004B3189">
        <w:rPr>
          <w:rFonts w:ascii="Times New Roman" w:hAnsi="Times New Roman" w:cs="Times New Roman"/>
          <w:bCs/>
          <w:sz w:val="24"/>
          <w:szCs w:val="24"/>
        </w:rPr>
        <w:t>LeResche</w:t>
      </w:r>
      <w:proofErr w:type="spellEnd"/>
      <w:r w:rsidRPr="004B3189">
        <w:rPr>
          <w:rFonts w:ascii="Times New Roman" w:hAnsi="Times New Roman" w:cs="Times New Roman"/>
          <w:bCs/>
          <w:sz w:val="24"/>
          <w:szCs w:val="24"/>
        </w:rPr>
        <w:t xml:space="preserve"> (1992)</w:t>
      </w:r>
      <w:r w:rsidRPr="00DE6D90">
        <w:rPr>
          <w:rFonts w:ascii="Times New Roman" w:hAnsi="Times New Roman" w:cs="Times New Roman"/>
          <w:sz w:val="24"/>
          <w:szCs w:val="24"/>
        </w:rPr>
        <w:t xml:space="preserve">. </w:t>
      </w:r>
    </w:p>
    <w:p w:rsidR="00091602" w:rsidRPr="00DE6D90" w:rsidRDefault="00091602" w:rsidP="00DE6D90">
      <w:pPr>
        <w:autoSpaceDE w:val="0"/>
        <w:autoSpaceDN w:val="0"/>
        <w:adjustRightInd w:val="0"/>
        <w:spacing w:after="0" w:line="480" w:lineRule="auto"/>
        <w:ind w:firstLine="851"/>
        <w:jc w:val="both"/>
        <w:rPr>
          <w:rFonts w:ascii="Times New Roman" w:hAnsi="Times New Roman" w:cs="Times New Roman"/>
          <w:sz w:val="24"/>
          <w:szCs w:val="24"/>
        </w:rPr>
      </w:pPr>
      <w:r w:rsidRPr="00DE6D90">
        <w:rPr>
          <w:rFonts w:ascii="Times New Roman" w:hAnsi="Times New Roman" w:cs="Times New Roman"/>
          <w:sz w:val="24"/>
          <w:szCs w:val="24"/>
        </w:rPr>
        <w:t xml:space="preserve">A análise e a interpretação dos dados foram feitas utilizando o </w:t>
      </w:r>
      <w:r w:rsidR="00BC6561" w:rsidRPr="00DE6D90">
        <w:rPr>
          <w:rFonts w:ascii="Times New Roman" w:hAnsi="Times New Roman" w:cs="Times New Roman"/>
          <w:i/>
          <w:sz w:val="24"/>
          <w:szCs w:val="24"/>
        </w:rPr>
        <w:t>software SPSS for Windows</w:t>
      </w:r>
      <w:r w:rsidR="00BC6561" w:rsidRPr="00DE6D90">
        <w:rPr>
          <w:rFonts w:ascii="Times New Roman" w:hAnsi="Times New Roman" w:cs="Times New Roman"/>
          <w:sz w:val="24"/>
          <w:szCs w:val="24"/>
        </w:rPr>
        <w:t xml:space="preserve"> 14.0 </w:t>
      </w:r>
      <w:r w:rsidRPr="00DE6D90">
        <w:rPr>
          <w:rFonts w:ascii="Times New Roman" w:hAnsi="Times New Roman" w:cs="Times New Roman"/>
          <w:sz w:val="24"/>
          <w:szCs w:val="24"/>
        </w:rPr>
        <w:t xml:space="preserve">e organizados no formato de tabelas, e a estatística foi a inferencial, apresentadas com médias e porcentagens. </w:t>
      </w:r>
    </w:p>
    <w:p w:rsidR="005C0316" w:rsidRPr="00DE6D90" w:rsidRDefault="005C0316" w:rsidP="00DE6D90">
      <w:pPr>
        <w:pStyle w:val="Ttulo2"/>
        <w:spacing w:line="480" w:lineRule="auto"/>
        <w:rPr>
          <w:rFonts w:ascii="Times New Roman" w:hAnsi="Times New Roman" w:cs="Times New Roman"/>
          <w:b/>
          <w:bCs/>
        </w:rPr>
      </w:pPr>
    </w:p>
    <w:p w:rsidR="00B56B46" w:rsidRPr="00D456BB" w:rsidRDefault="00402E82" w:rsidP="00B56B46">
      <w:pPr>
        <w:tabs>
          <w:tab w:val="left" w:pos="900"/>
        </w:tabs>
        <w:suppressAutoHyphens/>
        <w:jc w:val="both"/>
        <w:rPr>
          <w:color w:val="000000"/>
        </w:rPr>
      </w:pPr>
      <w:r w:rsidRPr="00402E82">
        <w:rPr>
          <w:rFonts w:ascii="Times New Roman" w:hAnsi="Times New Roman" w:cs="Times New Roman"/>
          <w:bCs/>
        </w:rPr>
        <w:t>3</w:t>
      </w:r>
      <w:r>
        <w:rPr>
          <w:rFonts w:ascii="Times New Roman" w:hAnsi="Times New Roman" w:cs="Times New Roman"/>
          <w:b/>
          <w:bCs/>
        </w:rPr>
        <w:t xml:space="preserve"> </w:t>
      </w:r>
      <w:r w:rsidR="00067CDE" w:rsidRPr="00DE6D90">
        <w:rPr>
          <w:rFonts w:ascii="Times New Roman" w:hAnsi="Times New Roman" w:cs="Times New Roman"/>
          <w:b/>
          <w:bCs/>
        </w:rPr>
        <w:t>RESULTADOS</w:t>
      </w:r>
      <w:r w:rsidR="00B56B46">
        <w:rPr>
          <w:rFonts w:ascii="Times New Roman" w:hAnsi="Times New Roman" w:cs="Times New Roman"/>
          <w:b/>
          <w:bCs/>
        </w:rPr>
        <w:t xml:space="preserve"> </w:t>
      </w:r>
    </w:p>
    <w:p w:rsidR="00067CDE" w:rsidRPr="00DE6D90" w:rsidRDefault="00067CDE" w:rsidP="00DE6D90">
      <w:pPr>
        <w:pStyle w:val="Ttulo2"/>
        <w:spacing w:line="480" w:lineRule="auto"/>
        <w:rPr>
          <w:rFonts w:ascii="Times New Roman" w:hAnsi="Times New Roman" w:cs="Times New Roman"/>
          <w:b/>
          <w:bCs/>
        </w:rPr>
      </w:pPr>
    </w:p>
    <w:p w:rsidR="00067CDE" w:rsidRPr="00DE6D90" w:rsidRDefault="00067CDE" w:rsidP="00DE6D90">
      <w:pPr>
        <w:spacing w:line="480" w:lineRule="auto"/>
        <w:ind w:firstLine="709"/>
        <w:jc w:val="both"/>
        <w:rPr>
          <w:rFonts w:ascii="Times New Roman" w:hAnsi="Times New Roman" w:cs="Times New Roman"/>
          <w:sz w:val="24"/>
          <w:szCs w:val="24"/>
        </w:rPr>
      </w:pPr>
      <w:r w:rsidRPr="00DE6D90">
        <w:rPr>
          <w:rFonts w:ascii="Times New Roman" w:hAnsi="Times New Roman" w:cs="Times New Roman"/>
          <w:sz w:val="24"/>
          <w:szCs w:val="24"/>
        </w:rPr>
        <w:t>Inicialmente, 42</w:t>
      </w:r>
      <w:r w:rsidR="005C0316" w:rsidRPr="00DE6D90">
        <w:rPr>
          <w:rFonts w:ascii="Times New Roman" w:hAnsi="Times New Roman" w:cs="Times New Roman"/>
          <w:sz w:val="24"/>
          <w:szCs w:val="24"/>
        </w:rPr>
        <w:t xml:space="preserve"> </w:t>
      </w:r>
      <w:r w:rsidRPr="00DE6D90">
        <w:rPr>
          <w:rFonts w:ascii="Times New Roman" w:hAnsi="Times New Roman" w:cs="Times New Roman"/>
          <w:sz w:val="24"/>
          <w:szCs w:val="24"/>
        </w:rPr>
        <w:t>mulheres foram incluídas no estudo. Contudo, cinco participantes não puderam continuar por não preencherem os critérios de inclusão (três já haviam realizado tratamento para DTM e duas</w:t>
      </w:r>
      <w:r w:rsidR="005C0316"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não pertenciam a faixa etária delineada no estudo). Com isso, a amostra final foi composta por 37 integrantes do gênero feminino, sendo a média de idade da amostra de 24,1 anos (± 4,3). </w:t>
      </w:r>
    </w:p>
    <w:p w:rsidR="00067CDE" w:rsidRPr="00DE6D90" w:rsidRDefault="00067CDE" w:rsidP="00DE6D90">
      <w:pPr>
        <w:spacing w:line="480" w:lineRule="auto"/>
        <w:ind w:firstLine="709"/>
        <w:jc w:val="both"/>
        <w:rPr>
          <w:rFonts w:ascii="Times New Roman" w:hAnsi="Times New Roman" w:cs="Times New Roman"/>
          <w:sz w:val="24"/>
          <w:szCs w:val="24"/>
        </w:rPr>
      </w:pPr>
      <w:r w:rsidRPr="00DE6D90">
        <w:rPr>
          <w:rFonts w:ascii="Times New Roman" w:hAnsi="Times New Roman" w:cs="Times New Roman"/>
          <w:sz w:val="24"/>
          <w:szCs w:val="24"/>
        </w:rPr>
        <w:t xml:space="preserve">Através da avaliação do Eixo I do RDC/TMD, foi possível observar que 21 (56,8%) participantes com SOP possuíam DTM e 16 (43,2%) não possuíam tal desordem (Tabela 1). </w:t>
      </w:r>
    </w:p>
    <w:p w:rsidR="00402E82" w:rsidRDefault="00067CDE" w:rsidP="00DE6D90">
      <w:pPr>
        <w:spacing w:line="480" w:lineRule="auto"/>
        <w:ind w:firstLine="709"/>
        <w:jc w:val="both"/>
        <w:rPr>
          <w:rFonts w:ascii="Times New Roman" w:hAnsi="Times New Roman" w:cs="Times New Roman"/>
          <w:i/>
          <w:iCs/>
          <w:sz w:val="24"/>
          <w:szCs w:val="24"/>
        </w:rPr>
      </w:pPr>
      <w:r w:rsidRPr="00402E82">
        <w:rPr>
          <w:rFonts w:ascii="Times New Roman" w:hAnsi="Times New Roman" w:cs="Times New Roman"/>
          <w:iCs/>
          <w:sz w:val="24"/>
          <w:szCs w:val="24"/>
        </w:rPr>
        <w:lastRenderedPageBreak/>
        <w:t>Tabela 1 – Prevalência de diagnósticos clínicos de DTM em mulheres com a SOP</w:t>
      </w:r>
      <w:r w:rsidR="004B3189" w:rsidRPr="00402E82">
        <w:rPr>
          <w:rFonts w:ascii="Times New Roman" w:hAnsi="Times New Roman" w:cs="Times New Roman"/>
          <w:iCs/>
          <w:sz w:val="24"/>
          <w:szCs w:val="24"/>
        </w:rPr>
        <w:t xml:space="preserve"> </w:t>
      </w:r>
      <w:r w:rsidRPr="00402E82">
        <w:rPr>
          <w:rFonts w:ascii="Times New Roman" w:hAnsi="Times New Roman" w:cs="Times New Roman"/>
          <w:iCs/>
          <w:sz w:val="24"/>
          <w:szCs w:val="24"/>
        </w:rPr>
        <w:t>de acordo com o RDC/TMD</w:t>
      </w:r>
      <w:r w:rsidR="00B56B46">
        <w:rPr>
          <w:rFonts w:ascii="Times New Roman" w:hAnsi="Times New Roman" w:cs="Times New Roman"/>
          <w:i/>
          <w:iCs/>
          <w:sz w:val="24"/>
          <w:szCs w:val="24"/>
        </w:rPr>
        <w:t xml:space="preserve"> </w:t>
      </w:r>
    </w:p>
    <w:tbl>
      <w:tblPr>
        <w:tblW w:w="10440" w:type="dxa"/>
        <w:jc w:val="center"/>
        <w:tblCellMar>
          <w:left w:w="0" w:type="dxa"/>
          <w:right w:w="0" w:type="dxa"/>
        </w:tblCellMar>
        <w:tblLook w:val="0020" w:firstRow="1" w:lastRow="0" w:firstColumn="0" w:lastColumn="0" w:noHBand="0" w:noVBand="0"/>
      </w:tblPr>
      <w:tblGrid>
        <w:gridCol w:w="1483"/>
        <w:gridCol w:w="1217"/>
        <w:gridCol w:w="1008"/>
        <w:gridCol w:w="1166"/>
        <w:gridCol w:w="1339"/>
        <w:gridCol w:w="1517"/>
        <w:gridCol w:w="1176"/>
        <w:gridCol w:w="1534"/>
      </w:tblGrid>
      <w:tr w:rsidR="00B21BC4" w:rsidRPr="00DE6D90" w:rsidTr="00B21BC4">
        <w:trPr>
          <w:trHeight w:val="1059"/>
          <w:jc w:val="center"/>
        </w:trPr>
        <w:tc>
          <w:tcPr>
            <w:tcW w:w="1483" w:type="dxa"/>
            <w:vMerge w:val="restart"/>
            <w:tcBorders>
              <w:top w:val="single" w:sz="8" w:space="0" w:color="000000"/>
              <w:left w:val="nil"/>
              <w:bottom w:val="single" w:sz="8" w:space="0" w:color="000000"/>
              <w:right w:val="nil"/>
            </w:tcBorders>
            <w:tcMar>
              <w:top w:w="15" w:type="dxa"/>
              <w:left w:w="93" w:type="dxa"/>
              <w:bottom w:w="0" w:type="dxa"/>
              <w:right w:w="93"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proofErr w:type="spellStart"/>
            <w:r w:rsidRPr="00DE6D90">
              <w:rPr>
                <w:rFonts w:ascii="Times New Roman" w:hAnsi="Times New Roman" w:cs="Times New Roman"/>
                <w:b/>
                <w:bCs/>
                <w:color w:val="000000"/>
                <w:kern w:val="24"/>
                <w:sz w:val="24"/>
                <w:szCs w:val="24"/>
                <w:lang w:val="en-US" w:eastAsia="pt-BR"/>
              </w:rPr>
              <w:t>Sem</w:t>
            </w:r>
            <w:proofErr w:type="spellEnd"/>
            <w:r w:rsidRPr="00DE6D90">
              <w:rPr>
                <w:rFonts w:ascii="Times New Roman" w:hAnsi="Times New Roman" w:cs="Times New Roman"/>
                <w:b/>
                <w:bCs/>
                <w:color w:val="000000"/>
                <w:kern w:val="24"/>
                <w:sz w:val="24"/>
                <w:szCs w:val="24"/>
                <w:lang w:val="en-US" w:eastAsia="pt-BR"/>
              </w:rPr>
              <w:t xml:space="preserve"> DTM</w:t>
            </w:r>
          </w:p>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16 (43,2)</w:t>
            </w:r>
          </w:p>
        </w:tc>
        <w:tc>
          <w:tcPr>
            <w:tcW w:w="8957" w:type="dxa"/>
            <w:gridSpan w:val="7"/>
            <w:tcBorders>
              <w:top w:val="single" w:sz="8" w:space="0" w:color="000000"/>
              <w:left w:val="nil"/>
              <w:bottom w:val="single" w:sz="8" w:space="0" w:color="000000"/>
              <w:right w:val="nil"/>
            </w:tcBorders>
            <w:tcMar>
              <w:top w:w="15" w:type="dxa"/>
              <w:left w:w="93" w:type="dxa"/>
              <w:bottom w:w="0" w:type="dxa"/>
              <w:right w:w="93"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 xml:space="preserve">Com DTM </w:t>
            </w:r>
          </w:p>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21 (56,8)</w:t>
            </w:r>
          </w:p>
        </w:tc>
      </w:tr>
      <w:tr w:rsidR="00B21BC4" w:rsidRPr="00DE6D90" w:rsidTr="00B21BC4">
        <w:trPr>
          <w:trHeight w:val="1059"/>
          <w:jc w:val="center"/>
        </w:trPr>
        <w:tc>
          <w:tcPr>
            <w:tcW w:w="1483" w:type="dxa"/>
            <w:vMerge/>
            <w:tcBorders>
              <w:top w:val="single" w:sz="8" w:space="0" w:color="000000"/>
              <w:left w:val="nil"/>
              <w:bottom w:val="single" w:sz="8" w:space="0" w:color="000000"/>
              <w:right w:val="nil"/>
            </w:tcBorders>
            <w:vAlign w:val="center"/>
          </w:tcPr>
          <w:p w:rsidR="00B21BC4" w:rsidRPr="00DE6D90" w:rsidRDefault="00B21BC4" w:rsidP="007F45EE">
            <w:pPr>
              <w:spacing w:after="0" w:line="360" w:lineRule="auto"/>
              <w:rPr>
                <w:rFonts w:ascii="Times New Roman" w:hAnsi="Times New Roman" w:cs="Times New Roman"/>
                <w:sz w:val="24"/>
                <w:szCs w:val="24"/>
                <w:lang w:eastAsia="pt-BR"/>
              </w:rPr>
            </w:pPr>
          </w:p>
        </w:tc>
        <w:tc>
          <w:tcPr>
            <w:tcW w:w="1217" w:type="dxa"/>
            <w:tcBorders>
              <w:top w:val="single" w:sz="8" w:space="0" w:color="000000"/>
              <w:left w:val="single" w:sz="8" w:space="0" w:color="000000"/>
              <w:bottom w:val="nil"/>
              <w:right w:val="nil"/>
            </w:tcBorders>
            <w:shd w:val="clear" w:color="auto" w:fill="E7E7E7"/>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Grupo I (%)</w:t>
            </w:r>
          </w:p>
        </w:tc>
        <w:tc>
          <w:tcPr>
            <w:tcW w:w="1008" w:type="dxa"/>
            <w:tcBorders>
              <w:top w:val="single" w:sz="8" w:space="0" w:color="000000"/>
              <w:left w:val="nil"/>
              <w:bottom w:val="nil"/>
              <w:right w:val="nil"/>
            </w:tcBorders>
            <w:shd w:val="clear" w:color="auto" w:fill="E7E7E7"/>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Grupo</w:t>
            </w:r>
          </w:p>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 xml:space="preserve"> </w:t>
            </w:r>
            <w:proofErr w:type="gramStart"/>
            <w:r w:rsidRPr="00DE6D90">
              <w:rPr>
                <w:rFonts w:ascii="Times New Roman" w:hAnsi="Times New Roman" w:cs="Times New Roman"/>
                <w:b/>
                <w:bCs/>
                <w:color w:val="000000"/>
                <w:kern w:val="24"/>
                <w:sz w:val="24"/>
                <w:szCs w:val="24"/>
                <w:lang w:eastAsia="pt-BR"/>
              </w:rPr>
              <w:t>II(</w:t>
            </w:r>
            <w:proofErr w:type="gramEnd"/>
            <w:r w:rsidRPr="00DE6D90">
              <w:rPr>
                <w:rFonts w:ascii="Times New Roman" w:hAnsi="Times New Roman" w:cs="Times New Roman"/>
                <w:b/>
                <w:bCs/>
                <w:color w:val="000000"/>
                <w:kern w:val="24"/>
                <w:sz w:val="24"/>
                <w:szCs w:val="24"/>
                <w:lang w:eastAsia="pt-BR"/>
              </w:rPr>
              <w:t>%)</w:t>
            </w:r>
          </w:p>
        </w:tc>
        <w:tc>
          <w:tcPr>
            <w:tcW w:w="1166" w:type="dxa"/>
            <w:tcBorders>
              <w:top w:val="single" w:sz="8" w:space="0" w:color="000000"/>
              <w:left w:val="nil"/>
              <w:bottom w:val="nil"/>
              <w:right w:val="nil"/>
            </w:tcBorders>
            <w:shd w:val="clear" w:color="auto" w:fill="E7E7E7"/>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 xml:space="preserve">Grupo </w:t>
            </w:r>
            <w:proofErr w:type="gramStart"/>
            <w:r w:rsidRPr="00DE6D90">
              <w:rPr>
                <w:rFonts w:ascii="Times New Roman" w:hAnsi="Times New Roman" w:cs="Times New Roman"/>
                <w:b/>
                <w:bCs/>
                <w:color w:val="000000"/>
                <w:kern w:val="24"/>
                <w:sz w:val="24"/>
                <w:szCs w:val="24"/>
                <w:lang w:eastAsia="pt-BR"/>
              </w:rPr>
              <w:t>III(</w:t>
            </w:r>
            <w:proofErr w:type="gramEnd"/>
            <w:r w:rsidRPr="00DE6D90">
              <w:rPr>
                <w:rFonts w:ascii="Times New Roman" w:hAnsi="Times New Roman" w:cs="Times New Roman"/>
                <w:b/>
                <w:bCs/>
                <w:color w:val="000000"/>
                <w:kern w:val="24"/>
                <w:sz w:val="24"/>
                <w:szCs w:val="24"/>
                <w:lang w:eastAsia="pt-BR"/>
              </w:rPr>
              <w:t>%)</w:t>
            </w:r>
          </w:p>
        </w:tc>
        <w:tc>
          <w:tcPr>
            <w:tcW w:w="1339" w:type="dxa"/>
            <w:tcBorders>
              <w:top w:val="single" w:sz="8" w:space="0" w:color="000000"/>
              <w:left w:val="nil"/>
              <w:bottom w:val="nil"/>
              <w:right w:val="nil"/>
            </w:tcBorders>
            <w:shd w:val="clear" w:color="auto" w:fill="E7E7E7"/>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Grupo</w:t>
            </w:r>
          </w:p>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 xml:space="preserve"> I + </w:t>
            </w:r>
            <w:proofErr w:type="gramStart"/>
            <w:r w:rsidRPr="00DE6D90">
              <w:rPr>
                <w:rFonts w:ascii="Times New Roman" w:hAnsi="Times New Roman" w:cs="Times New Roman"/>
                <w:b/>
                <w:bCs/>
                <w:color w:val="000000"/>
                <w:kern w:val="24"/>
                <w:sz w:val="24"/>
                <w:szCs w:val="24"/>
                <w:lang w:eastAsia="pt-BR"/>
              </w:rPr>
              <w:t>II(</w:t>
            </w:r>
            <w:proofErr w:type="gramEnd"/>
            <w:r w:rsidRPr="00DE6D90">
              <w:rPr>
                <w:rFonts w:ascii="Times New Roman" w:hAnsi="Times New Roman" w:cs="Times New Roman"/>
                <w:b/>
                <w:bCs/>
                <w:color w:val="000000"/>
                <w:kern w:val="24"/>
                <w:sz w:val="24"/>
                <w:szCs w:val="24"/>
                <w:lang w:eastAsia="pt-BR"/>
              </w:rPr>
              <w:t>%)</w:t>
            </w:r>
          </w:p>
        </w:tc>
        <w:tc>
          <w:tcPr>
            <w:tcW w:w="1517" w:type="dxa"/>
            <w:tcBorders>
              <w:top w:val="single" w:sz="8" w:space="0" w:color="000000"/>
              <w:left w:val="nil"/>
              <w:bottom w:val="nil"/>
              <w:right w:val="nil"/>
            </w:tcBorders>
            <w:shd w:val="clear" w:color="auto" w:fill="E7E7E7"/>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Grupo</w:t>
            </w:r>
          </w:p>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 xml:space="preserve"> I + </w:t>
            </w:r>
            <w:proofErr w:type="gramStart"/>
            <w:r w:rsidRPr="00DE6D90">
              <w:rPr>
                <w:rFonts w:ascii="Times New Roman" w:hAnsi="Times New Roman" w:cs="Times New Roman"/>
                <w:b/>
                <w:bCs/>
                <w:color w:val="000000"/>
                <w:kern w:val="24"/>
                <w:sz w:val="24"/>
                <w:szCs w:val="24"/>
                <w:lang w:eastAsia="pt-BR"/>
              </w:rPr>
              <w:t>III(</w:t>
            </w:r>
            <w:proofErr w:type="gramEnd"/>
            <w:r w:rsidRPr="00DE6D90">
              <w:rPr>
                <w:rFonts w:ascii="Times New Roman" w:hAnsi="Times New Roman" w:cs="Times New Roman"/>
                <w:b/>
                <w:bCs/>
                <w:color w:val="000000"/>
                <w:kern w:val="24"/>
                <w:sz w:val="24"/>
                <w:szCs w:val="24"/>
                <w:lang w:eastAsia="pt-BR"/>
              </w:rPr>
              <w:t>%)</w:t>
            </w:r>
          </w:p>
        </w:tc>
        <w:tc>
          <w:tcPr>
            <w:tcW w:w="1176" w:type="dxa"/>
            <w:tcBorders>
              <w:top w:val="single" w:sz="8" w:space="0" w:color="000000"/>
              <w:left w:val="nil"/>
              <w:bottom w:val="nil"/>
              <w:right w:val="nil"/>
            </w:tcBorders>
            <w:shd w:val="clear" w:color="auto" w:fill="E7E7E7"/>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Grupo</w:t>
            </w:r>
          </w:p>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 xml:space="preserve"> II + </w:t>
            </w:r>
            <w:proofErr w:type="gramStart"/>
            <w:r w:rsidRPr="00DE6D90">
              <w:rPr>
                <w:rFonts w:ascii="Times New Roman" w:hAnsi="Times New Roman" w:cs="Times New Roman"/>
                <w:b/>
                <w:bCs/>
                <w:color w:val="000000"/>
                <w:kern w:val="24"/>
                <w:sz w:val="24"/>
                <w:szCs w:val="24"/>
                <w:lang w:eastAsia="pt-BR"/>
              </w:rPr>
              <w:t>III(</w:t>
            </w:r>
            <w:proofErr w:type="gramEnd"/>
            <w:r w:rsidRPr="00DE6D90">
              <w:rPr>
                <w:rFonts w:ascii="Times New Roman" w:hAnsi="Times New Roman" w:cs="Times New Roman"/>
                <w:b/>
                <w:bCs/>
                <w:color w:val="000000"/>
                <w:kern w:val="24"/>
                <w:sz w:val="24"/>
                <w:szCs w:val="24"/>
                <w:lang w:eastAsia="pt-BR"/>
              </w:rPr>
              <w:t>%)</w:t>
            </w:r>
          </w:p>
        </w:tc>
        <w:tc>
          <w:tcPr>
            <w:tcW w:w="1534" w:type="dxa"/>
            <w:tcBorders>
              <w:top w:val="single" w:sz="8" w:space="0" w:color="000000"/>
              <w:left w:val="nil"/>
              <w:bottom w:val="nil"/>
              <w:right w:val="nil"/>
            </w:tcBorders>
            <w:shd w:val="clear" w:color="auto" w:fill="E7E7E7"/>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Grupo</w:t>
            </w:r>
          </w:p>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b/>
                <w:bCs/>
                <w:color w:val="000000"/>
                <w:kern w:val="24"/>
                <w:sz w:val="24"/>
                <w:szCs w:val="24"/>
                <w:lang w:eastAsia="pt-BR"/>
              </w:rPr>
              <w:t xml:space="preserve"> I + II + </w:t>
            </w:r>
            <w:proofErr w:type="gramStart"/>
            <w:r w:rsidRPr="00DE6D90">
              <w:rPr>
                <w:rFonts w:ascii="Times New Roman" w:hAnsi="Times New Roman" w:cs="Times New Roman"/>
                <w:b/>
                <w:bCs/>
                <w:color w:val="000000"/>
                <w:kern w:val="24"/>
                <w:sz w:val="24"/>
                <w:szCs w:val="24"/>
                <w:lang w:eastAsia="pt-BR"/>
              </w:rPr>
              <w:t>III(</w:t>
            </w:r>
            <w:proofErr w:type="gramEnd"/>
            <w:r w:rsidRPr="00DE6D90">
              <w:rPr>
                <w:rFonts w:ascii="Times New Roman" w:hAnsi="Times New Roman" w:cs="Times New Roman"/>
                <w:b/>
                <w:bCs/>
                <w:color w:val="000000"/>
                <w:kern w:val="24"/>
                <w:sz w:val="24"/>
                <w:szCs w:val="24"/>
                <w:lang w:eastAsia="pt-BR"/>
              </w:rPr>
              <w:t>%)</w:t>
            </w:r>
          </w:p>
        </w:tc>
      </w:tr>
      <w:tr w:rsidR="00B21BC4" w:rsidRPr="00DE6D90" w:rsidTr="00B21BC4">
        <w:trPr>
          <w:trHeight w:val="801"/>
          <w:jc w:val="center"/>
        </w:trPr>
        <w:tc>
          <w:tcPr>
            <w:tcW w:w="1483" w:type="dxa"/>
            <w:tcBorders>
              <w:top w:val="single" w:sz="8" w:space="0" w:color="000000"/>
              <w:left w:val="nil"/>
              <w:bottom w:val="single" w:sz="8" w:space="0" w:color="000000"/>
              <w:right w:val="nil"/>
            </w:tcBorders>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16 (43,2)</w:t>
            </w:r>
          </w:p>
        </w:tc>
        <w:tc>
          <w:tcPr>
            <w:tcW w:w="1217" w:type="dxa"/>
            <w:tcBorders>
              <w:top w:val="nil"/>
              <w:left w:val="nil"/>
              <w:bottom w:val="single" w:sz="8" w:space="0" w:color="000000"/>
              <w:right w:val="nil"/>
            </w:tcBorders>
            <w:tcMar>
              <w:left w:w="144"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6 (16,2)</w:t>
            </w:r>
          </w:p>
        </w:tc>
        <w:tc>
          <w:tcPr>
            <w:tcW w:w="1008" w:type="dxa"/>
            <w:tcBorders>
              <w:top w:val="nil"/>
              <w:left w:val="nil"/>
              <w:bottom w:val="single" w:sz="8" w:space="0" w:color="000000"/>
              <w:right w:val="nil"/>
            </w:tcBorders>
            <w:tcMar>
              <w:top w:w="15" w:type="dxa"/>
              <w:left w:w="93" w:type="dxa"/>
              <w:bottom w:w="72" w:type="dxa"/>
              <w:right w:w="93"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3 (8,1)</w:t>
            </w:r>
          </w:p>
        </w:tc>
        <w:tc>
          <w:tcPr>
            <w:tcW w:w="1166" w:type="dxa"/>
            <w:tcBorders>
              <w:top w:val="nil"/>
              <w:left w:val="nil"/>
              <w:bottom w:val="single" w:sz="8" w:space="0" w:color="000000"/>
              <w:right w:val="nil"/>
            </w:tcBorders>
            <w:tcMar>
              <w:top w:w="72" w:type="dxa"/>
              <w:left w:w="144" w:type="dxa"/>
              <w:bottom w:w="72"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2 (5,4)</w:t>
            </w:r>
          </w:p>
        </w:tc>
        <w:tc>
          <w:tcPr>
            <w:tcW w:w="1339" w:type="dxa"/>
            <w:tcBorders>
              <w:top w:val="nil"/>
              <w:left w:val="nil"/>
              <w:bottom w:val="single" w:sz="8" w:space="0" w:color="000000"/>
              <w:right w:val="nil"/>
            </w:tcBorders>
            <w:tcMar>
              <w:left w:w="144"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4 (10,8)</w:t>
            </w:r>
          </w:p>
        </w:tc>
        <w:tc>
          <w:tcPr>
            <w:tcW w:w="1517" w:type="dxa"/>
            <w:tcBorders>
              <w:top w:val="nil"/>
              <w:left w:val="nil"/>
              <w:bottom w:val="single" w:sz="8" w:space="0" w:color="000000"/>
              <w:right w:val="nil"/>
            </w:tcBorders>
            <w:tcMar>
              <w:left w:w="144"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2 (5,4)</w:t>
            </w:r>
          </w:p>
        </w:tc>
        <w:tc>
          <w:tcPr>
            <w:tcW w:w="1176" w:type="dxa"/>
            <w:tcBorders>
              <w:top w:val="nil"/>
              <w:left w:val="nil"/>
              <w:bottom w:val="single" w:sz="8" w:space="0" w:color="000000"/>
              <w:right w:val="nil"/>
            </w:tcBorders>
            <w:tcMar>
              <w:left w:w="144"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3 (8,1)</w:t>
            </w:r>
          </w:p>
        </w:tc>
        <w:tc>
          <w:tcPr>
            <w:tcW w:w="1534" w:type="dxa"/>
            <w:tcBorders>
              <w:top w:val="nil"/>
              <w:left w:val="nil"/>
              <w:bottom w:val="single" w:sz="8" w:space="0" w:color="000000"/>
              <w:right w:val="nil"/>
            </w:tcBorders>
            <w:tcMar>
              <w:left w:w="144" w:type="dxa"/>
              <w:right w:w="144" w:type="dxa"/>
            </w:tcMar>
            <w:vAlign w:val="center"/>
          </w:tcPr>
          <w:p w:rsidR="00B21BC4" w:rsidRPr="00DE6D90" w:rsidRDefault="00B21BC4" w:rsidP="007F45EE">
            <w:pPr>
              <w:spacing w:after="0" w:line="360" w:lineRule="auto"/>
              <w:jc w:val="center"/>
              <w:rPr>
                <w:rFonts w:ascii="Times New Roman" w:hAnsi="Times New Roman" w:cs="Times New Roman"/>
                <w:sz w:val="24"/>
                <w:szCs w:val="24"/>
                <w:lang w:eastAsia="pt-BR"/>
              </w:rPr>
            </w:pPr>
            <w:r w:rsidRPr="00DE6D90">
              <w:rPr>
                <w:rFonts w:ascii="Times New Roman" w:hAnsi="Times New Roman" w:cs="Times New Roman"/>
                <w:color w:val="000000"/>
                <w:kern w:val="24"/>
                <w:sz w:val="24"/>
                <w:szCs w:val="24"/>
                <w:lang w:eastAsia="pt-BR"/>
              </w:rPr>
              <w:t>1 (2,7)</w:t>
            </w:r>
          </w:p>
        </w:tc>
      </w:tr>
    </w:tbl>
    <w:p w:rsidR="00B21BC4" w:rsidRPr="00DE6D90" w:rsidRDefault="00B21BC4" w:rsidP="00B21BC4">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Fonte</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autores</w:t>
      </w:r>
      <w:proofErr w:type="spellEnd"/>
      <w:r>
        <w:rPr>
          <w:rFonts w:ascii="Times New Roman" w:hAnsi="Times New Roman" w:cs="Times New Roman"/>
          <w:sz w:val="24"/>
          <w:szCs w:val="24"/>
          <w:lang w:val="en-US"/>
        </w:rPr>
        <w:t xml:space="preserve"> (2015)”</w:t>
      </w:r>
    </w:p>
    <w:p w:rsidR="00402E82" w:rsidRDefault="00402E82" w:rsidP="00DE6D90">
      <w:pPr>
        <w:spacing w:line="480" w:lineRule="auto"/>
        <w:ind w:firstLine="709"/>
        <w:jc w:val="both"/>
        <w:rPr>
          <w:rFonts w:ascii="Times New Roman" w:hAnsi="Times New Roman" w:cs="Times New Roman"/>
          <w:i/>
          <w:iCs/>
          <w:sz w:val="24"/>
          <w:szCs w:val="24"/>
        </w:rPr>
      </w:pPr>
    </w:p>
    <w:p w:rsidR="00067CDE" w:rsidRPr="00DE6D90" w:rsidRDefault="00067CDE" w:rsidP="00DE6D90">
      <w:pPr>
        <w:spacing w:line="480" w:lineRule="auto"/>
        <w:ind w:firstLine="709"/>
        <w:jc w:val="both"/>
        <w:rPr>
          <w:rFonts w:ascii="Times New Roman" w:hAnsi="Times New Roman" w:cs="Times New Roman"/>
          <w:sz w:val="24"/>
          <w:szCs w:val="24"/>
        </w:rPr>
      </w:pPr>
      <w:r w:rsidRPr="00DE6D90">
        <w:rPr>
          <w:rFonts w:ascii="Times New Roman" w:hAnsi="Times New Roman" w:cs="Times New Roman"/>
          <w:sz w:val="24"/>
          <w:szCs w:val="24"/>
        </w:rPr>
        <w:t xml:space="preserve">Dentre as mulheres diagnosticadas com DTM, quatro não possuíam dor crônica orofacial (Grau 0), enquanto 17 apresentaram esta queixa presente há pelo menos seis meses, sendo que: oito apresentaram baixa incapacidade e baixa intensidade (Grau I), três baixa incapacidade e alta intensidade (Grau II) e seis alta incapacidade e limitação moderada (Grau III) (Tabela 2). </w:t>
      </w:r>
    </w:p>
    <w:p w:rsidR="00067CDE" w:rsidRDefault="00067CDE" w:rsidP="00DE6D90">
      <w:pPr>
        <w:spacing w:line="480" w:lineRule="auto"/>
        <w:ind w:firstLine="709"/>
        <w:jc w:val="both"/>
        <w:rPr>
          <w:color w:val="000000"/>
        </w:rPr>
      </w:pPr>
      <w:r w:rsidRPr="00402E82">
        <w:rPr>
          <w:rFonts w:ascii="Times New Roman" w:hAnsi="Times New Roman" w:cs="Times New Roman"/>
          <w:iCs/>
          <w:sz w:val="24"/>
          <w:szCs w:val="24"/>
        </w:rPr>
        <w:t>Tabela 2 – Prevalência de dor crônica observada</w:t>
      </w:r>
      <w:r w:rsidR="004B3189" w:rsidRPr="00402E82">
        <w:rPr>
          <w:rFonts w:ascii="Times New Roman" w:hAnsi="Times New Roman" w:cs="Times New Roman"/>
          <w:iCs/>
          <w:sz w:val="24"/>
          <w:szCs w:val="24"/>
        </w:rPr>
        <w:t xml:space="preserve"> </w:t>
      </w:r>
      <w:r w:rsidRPr="00402E82">
        <w:rPr>
          <w:rFonts w:ascii="Times New Roman" w:hAnsi="Times New Roman" w:cs="Times New Roman"/>
          <w:iCs/>
          <w:sz w:val="24"/>
          <w:szCs w:val="24"/>
        </w:rPr>
        <w:t>em mulheres com DTM e SOP.</w:t>
      </w:r>
      <w:r w:rsidR="00B56B46">
        <w:rPr>
          <w:rFonts w:ascii="Times New Roman" w:hAnsi="Times New Roman" w:cs="Times New Roman"/>
          <w:i/>
          <w:iCs/>
          <w:sz w:val="24"/>
          <w:szCs w:val="24"/>
        </w:rPr>
        <w:t xml:space="preserve"> </w:t>
      </w:r>
    </w:p>
    <w:tbl>
      <w:tblPr>
        <w:tblW w:w="0" w:type="auto"/>
        <w:jc w:val="center"/>
        <w:tblBorders>
          <w:top w:val="single" w:sz="8" w:space="0" w:color="000000"/>
          <w:bottom w:val="single" w:sz="8" w:space="0" w:color="000000"/>
        </w:tblBorders>
        <w:tblLook w:val="0020" w:firstRow="1" w:lastRow="0" w:firstColumn="0" w:lastColumn="0" w:noHBand="0" w:noVBand="0"/>
      </w:tblPr>
      <w:tblGrid>
        <w:gridCol w:w="3338"/>
        <w:gridCol w:w="3686"/>
      </w:tblGrid>
      <w:tr w:rsidR="00B21BC4" w:rsidRPr="00DE6D90" w:rsidTr="007F45EE">
        <w:trPr>
          <w:trHeight w:val="526"/>
          <w:jc w:val="center"/>
        </w:trPr>
        <w:tc>
          <w:tcPr>
            <w:tcW w:w="3338" w:type="dxa"/>
            <w:tcBorders>
              <w:top w:val="single" w:sz="8" w:space="0" w:color="000000"/>
              <w:left w:val="nil"/>
              <w:bottom w:val="single" w:sz="8" w:space="0" w:color="000000"/>
              <w:right w:val="nil"/>
            </w:tcBorders>
          </w:tcPr>
          <w:p w:rsidR="00B21BC4" w:rsidRPr="00DE6D90" w:rsidRDefault="00B21BC4" w:rsidP="007F45EE">
            <w:pPr>
              <w:spacing w:line="360" w:lineRule="auto"/>
              <w:jc w:val="center"/>
              <w:rPr>
                <w:rFonts w:ascii="Times New Roman" w:hAnsi="Times New Roman" w:cs="Times New Roman"/>
                <w:b/>
                <w:bCs/>
                <w:i/>
                <w:iCs/>
                <w:color w:val="000000"/>
                <w:sz w:val="24"/>
                <w:szCs w:val="24"/>
              </w:rPr>
            </w:pPr>
            <w:r w:rsidRPr="00DE6D90">
              <w:rPr>
                <w:rFonts w:ascii="Times New Roman" w:hAnsi="Times New Roman" w:cs="Times New Roman"/>
                <w:b/>
                <w:bCs/>
                <w:i/>
                <w:iCs/>
                <w:color w:val="000000"/>
                <w:sz w:val="24"/>
                <w:szCs w:val="24"/>
              </w:rPr>
              <w:t>Grau da dor crônica</w:t>
            </w:r>
          </w:p>
        </w:tc>
        <w:tc>
          <w:tcPr>
            <w:tcW w:w="3686" w:type="dxa"/>
            <w:tcBorders>
              <w:top w:val="single" w:sz="8" w:space="0" w:color="000000"/>
              <w:left w:val="nil"/>
              <w:bottom w:val="single" w:sz="8" w:space="0" w:color="000000"/>
              <w:right w:val="nil"/>
            </w:tcBorders>
          </w:tcPr>
          <w:p w:rsidR="00B21BC4" w:rsidRPr="00DE6D90" w:rsidRDefault="00B21BC4" w:rsidP="007F45EE">
            <w:pPr>
              <w:spacing w:line="360" w:lineRule="auto"/>
              <w:jc w:val="center"/>
              <w:rPr>
                <w:rFonts w:ascii="Times New Roman" w:hAnsi="Times New Roman" w:cs="Times New Roman"/>
                <w:b/>
                <w:bCs/>
                <w:i/>
                <w:iCs/>
                <w:color w:val="000000"/>
                <w:sz w:val="24"/>
                <w:szCs w:val="24"/>
              </w:rPr>
            </w:pPr>
            <w:r w:rsidRPr="00DE6D90">
              <w:rPr>
                <w:rFonts w:ascii="Times New Roman" w:hAnsi="Times New Roman" w:cs="Times New Roman"/>
                <w:b/>
                <w:bCs/>
                <w:i/>
                <w:iCs/>
                <w:color w:val="000000"/>
                <w:sz w:val="24"/>
                <w:szCs w:val="24"/>
              </w:rPr>
              <w:t>Pacientes com DTM (n= 21)</w:t>
            </w:r>
          </w:p>
        </w:tc>
      </w:tr>
      <w:tr w:rsidR="00B21BC4" w:rsidRPr="00DE6D90" w:rsidTr="007F45EE">
        <w:trPr>
          <w:trHeight w:val="526"/>
          <w:jc w:val="center"/>
        </w:trPr>
        <w:tc>
          <w:tcPr>
            <w:tcW w:w="3338" w:type="dxa"/>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t>GRAU 0</w:t>
            </w:r>
          </w:p>
        </w:tc>
        <w:tc>
          <w:tcPr>
            <w:tcW w:w="3686" w:type="dxa"/>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t>4 (19,1)</w:t>
            </w:r>
          </w:p>
        </w:tc>
      </w:tr>
      <w:tr w:rsidR="00B21BC4" w:rsidRPr="00DE6D90" w:rsidTr="007F45EE">
        <w:trPr>
          <w:trHeight w:val="497"/>
          <w:jc w:val="center"/>
        </w:trPr>
        <w:tc>
          <w:tcPr>
            <w:tcW w:w="3338" w:type="dxa"/>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t>GRAU I</w:t>
            </w:r>
          </w:p>
        </w:tc>
        <w:tc>
          <w:tcPr>
            <w:tcW w:w="3686" w:type="dxa"/>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t>8 (38,1)</w:t>
            </w:r>
          </w:p>
        </w:tc>
      </w:tr>
      <w:tr w:rsidR="00B21BC4" w:rsidRPr="00DE6D90" w:rsidTr="007F45EE">
        <w:trPr>
          <w:trHeight w:val="526"/>
          <w:jc w:val="center"/>
        </w:trPr>
        <w:tc>
          <w:tcPr>
            <w:tcW w:w="3338" w:type="dxa"/>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t>GRAU II</w:t>
            </w:r>
          </w:p>
        </w:tc>
        <w:tc>
          <w:tcPr>
            <w:tcW w:w="3686" w:type="dxa"/>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t>3 (14,3)</w:t>
            </w:r>
          </w:p>
        </w:tc>
      </w:tr>
      <w:tr w:rsidR="00B21BC4" w:rsidRPr="00DE6D90" w:rsidTr="007F45EE">
        <w:trPr>
          <w:trHeight w:val="526"/>
          <w:jc w:val="center"/>
        </w:trPr>
        <w:tc>
          <w:tcPr>
            <w:tcW w:w="3338" w:type="dxa"/>
            <w:tcBorders>
              <w:bottom w:val="single" w:sz="8" w:space="0" w:color="000000"/>
            </w:tcBorders>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t>GRAU III</w:t>
            </w:r>
          </w:p>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lastRenderedPageBreak/>
              <w:t>GRAU IV</w:t>
            </w:r>
          </w:p>
        </w:tc>
        <w:tc>
          <w:tcPr>
            <w:tcW w:w="3686" w:type="dxa"/>
            <w:tcBorders>
              <w:bottom w:val="single" w:sz="8" w:space="0" w:color="000000"/>
            </w:tcBorders>
          </w:tcPr>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lastRenderedPageBreak/>
              <w:t>6 (25,5)</w:t>
            </w:r>
          </w:p>
          <w:p w:rsidR="00B21BC4" w:rsidRPr="00DE6D90" w:rsidRDefault="00B21BC4" w:rsidP="007F45EE">
            <w:pPr>
              <w:spacing w:line="360" w:lineRule="auto"/>
              <w:jc w:val="center"/>
              <w:rPr>
                <w:rFonts w:ascii="Times New Roman" w:hAnsi="Times New Roman" w:cs="Times New Roman"/>
                <w:color w:val="000000"/>
                <w:sz w:val="24"/>
                <w:szCs w:val="24"/>
              </w:rPr>
            </w:pPr>
            <w:r w:rsidRPr="00DE6D90">
              <w:rPr>
                <w:rFonts w:ascii="Times New Roman" w:hAnsi="Times New Roman" w:cs="Times New Roman"/>
                <w:color w:val="000000"/>
                <w:sz w:val="24"/>
                <w:szCs w:val="24"/>
              </w:rPr>
              <w:lastRenderedPageBreak/>
              <w:t>0 (0)</w:t>
            </w:r>
          </w:p>
        </w:tc>
      </w:tr>
    </w:tbl>
    <w:p w:rsidR="00B21BC4" w:rsidRDefault="00B21BC4" w:rsidP="00B21BC4">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Fonte</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autores</w:t>
      </w:r>
      <w:proofErr w:type="spellEnd"/>
      <w:r>
        <w:rPr>
          <w:rFonts w:ascii="Times New Roman" w:hAnsi="Times New Roman" w:cs="Times New Roman"/>
          <w:sz w:val="24"/>
          <w:szCs w:val="24"/>
          <w:lang w:val="en-US"/>
        </w:rPr>
        <w:t xml:space="preserve"> (2015)”</w:t>
      </w:r>
    </w:p>
    <w:p w:rsidR="00B21BC4" w:rsidRDefault="00B21BC4" w:rsidP="00DE6D90">
      <w:pPr>
        <w:spacing w:line="480" w:lineRule="auto"/>
        <w:ind w:firstLine="708"/>
        <w:jc w:val="both"/>
        <w:rPr>
          <w:rFonts w:ascii="Times New Roman" w:hAnsi="Times New Roman" w:cs="Times New Roman"/>
          <w:sz w:val="24"/>
          <w:szCs w:val="24"/>
        </w:rPr>
      </w:pP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De acordo com o índice</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de sintomas depressivos, das 21 participantes com DTM e SOP, 38,1% não apresentaram sintomas depressivos, 28,6% apresentaram níveis moderados e 33,3% apresentaram níveis severos de depressão. Em relação ao nível de sintomas físicos não específicos incluindo dor, 33,3% deste mesmo grupo apresentou níveis normais, 14,3% níveis moderados </w:t>
      </w:r>
      <w:r w:rsidRPr="00DE6D90">
        <w:rPr>
          <w:rFonts w:ascii="Times New Roman" w:hAnsi="Times New Roman" w:cs="Times New Roman"/>
          <w:i/>
          <w:iCs/>
          <w:sz w:val="24"/>
          <w:szCs w:val="24"/>
        </w:rPr>
        <w:t xml:space="preserve">e </w:t>
      </w:r>
      <w:r w:rsidRPr="00852C3A">
        <w:rPr>
          <w:rFonts w:ascii="Times New Roman" w:hAnsi="Times New Roman" w:cs="Times New Roman"/>
          <w:iCs/>
          <w:sz w:val="24"/>
          <w:szCs w:val="24"/>
        </w:rPr>
        <w:t xml:space="preserve">52,4% níveis severos. Já considerando-se os sintomas físicos específicos </w:t>
      </w:r>
      <w:r w:rsidRPr="00852C3A">
        <w:rPr>
          <w:rFonts w:ascii="Times New Roman" w:hAnsi="Times New Roman" w:cs="Times New Roman"/>
          <w:sz w:val="24"/>
          <w:szCs w:val="24"/>
        </w:rPr>
        <w:t>excluindo dor, os valores encontrados foram respectivamente de 38,1%, 23,8% e 38,1%. Os valores estão apresentados</w:t>
      </w:r>
      <w:r w:rsidRPr="00DE6D90">
        <w:rPr>
          <w:rFonts w:ascii="Times New Roman" w:hAnsi="Times New Roman" w:cs="Times New Roman"/>
          <w:sz w:val="24"/>
          <w:szCs w:val="24"/>
        </w:rPr>
        <w:t xml:space="preserve"> na tabela 3. </w:t>
      </w:r>
    </w:p>
    <w:p w:rsidR="00067CDE" w:rsidRPr="00DE6D90" w:rsidRDefault="00067CDE" w:rsidP="00DE6D90">
      <w:pPr>
        <w:spacing w:line="480" w:lineRule="auto"/>
        <w:rPr>
          <w:rFonts w:ascii="Times New Roman" w:hAnsi="Times New Roman" w:cs="Times New Roman"/>
          <w:sz w:val="24"/>
          <w:szCs w:val="24"/>
        </w:rPr>
      </w:pPr>
    </w:p>
    <w:p w:rsidR="00067CDE" w:rsidRPr="00402E82" w:rsidRDefault="00067CDE" w:rsidP="00DE6D90">
      <w:pPr>
        <w:spacing w:line="480" w:lineRule="auto"/>
        <w:ind w:firstLine="709"/>
        <w:jc w:val="both"/>
        <w:rPr>
          <w:rFonts w:ascii="Times New Roman" w:hAnsi="Times New Roman" w:cs="Times New Roman"/>
          <w:iCs/>
          <w:sz w:val="24"/>
          <w:szCs w:val="24"/>
        </w:rPr>
      </w:pPr>
      <w:r w:rsidRPr="00402E82">
        <w:rPr>
          <w:rFonts w:ascii="Times New Roman" w:hAnsi="Times New Roman" w:cs="Times New Roman"/>
          <w:iCs/>
          <w:sz w:val="24"/>
          <w:szCs w:val="24"/>
        </w:rPr>
        <w:t>Tabela 3 – Nível de sintomas depressivos e sintomas físicos não específicos apresentados pelas voluntárias do estudo.</w:t>
      </w:r>
    </w:p>
    <w:tbl>
      <w:tblPr>
        <w:tblW w:w="9859" w:type="dxa"/>
        <w:jc w:val="center"/>
        <w:tblCellMar>
          <w:left w:w="0" w:type="dxa"/>
          <w:right w:w="0" w:type="dxa"/>
        </w:tblCellMar>
        <w:tblLook w:val="0020" w:firstRow="1" w:lastRow="0" w:firstColumn="0" w:lastColumn="0" w:noHBand="0" w:noVBand="0"/>
      </w:tblPr>
      <w:tblGrid>
        <w:gridCol w:w="3055"/>
        <w:gridCol w:w="1134"/>
        <w:gridCol w:w="1134"/>
        <w:gridCol w:w="1134"/>
        <w:gridCol w:w="1134"/>
        <w:gridCol w:w="1134"/>
        <w:gridCol w:w="1134"/>
      </w:tblGrid>
      <w:tr w:rsidR="00B21BC4" w:rsidRPr="00DE6D90" w:rsidTr="007F45EE">
        <w:trPr>
          <w:trHeight w:val="570"/>
          <w:jc w:val="center"/>
        </w:trPr>
        <w:tc>
          <w:tcPr>
            <w:tcW w:w="3055" w:type="dxa"/>
            <w:vMerge w:val="restart"/>
            <w:tcBorders>
              <w:top w:val="single" w:sz="8" w:space="0" w:color="000000"/>
              <w:left w:val="nil"/>
              <w:bottom w:val="single" w:sz="8" w:space="0" w:color="000000"/>
              <w:right w:val="nil"/>
            </w:tcBorders>
            <w:vAlign w:val="center"/>
          </w:tcPr>
          <w:p w:rsidR="00B21BC4" w:rsidRPr="00DE6D90" w:rsidRDefault="00B21BC4" w:rsidP="007F45EE">
            <w:pPr>
              <w:spacing w:line="360" w:lineRule="auto"/>
              <w:rPr>
                <w:rFonts w:ascii="Times New Roman" w:hAnsi="Times New Roman" w:cs="Times New Roman"/>
                <w:sz w:val="24"/>
                <w:szCs w:val="24"/>
              </w:rPr>
            </w:pPr>
            <w:r w:rsidRPr="00DE6D90">
              <w:rPr>
                <w:rFonts w:ascii="Times New Roman" w:hAnsi="Times New Roman" w:cs="Times New Roman"/>
                <w:b/>
                <w:bCs/>
                <w:sz w:val="24"/>
                <w:szCs w:val="24"/>
              </w:rPr>
              <w:t>CLASSIFICAÇÃO</w:t>
            </w:r>
          </w:p>
        </w:tc>
        <w:tc>
          <w:tcPr>
            <w:tcW w:w="2268" w:type="dxa"/>
            <w:gridSpan w:val="2"/>
            <w:tcBorders>
              <w:top w:val="single" w:sz="8" w:space="0" w:color="000000"/>
              <w:left w:val="nil"/>
              <w:bottom w:val="single" w:sz="8" w:space="0" w:color="000000"/>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b/>
                <w:bCs/>
                <w:sz w:val="24"/>
                <w:szCs w:val="24"/>
              </w:rPr>
              <w:t>Depressão</w:t>
            </w:r>
          </w:p>
        </w:tc>
        <w:tc>
          <w:tcPr>
            <w:tcW w:w="2268" w:type="dxa"/>
            <w:gridSpan w:val="2"/>
            <w:tcBorders>
              <w:top w:val="single" w:sz="8" w:space="0" w:color="000000"/>
              <w:left w:val="nil"/>
              <w:bottom w:val="single" w:sz="8" w:space="0" w:color="000000"/>
              <w:right w:val="nil"/>
            </w:tcBorders>
            <w:tcMar>
              <w:top w:w="15" w:type="dxa"/>
              <w:left w:w="93" w:type="dxa"/>
              <w:bottom w:w="72" w:type="dxa"/>
              <w:right w:w="93"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b/>
                <w:bCs/>
                <w:sz w:val="24"/>
                <w:szCs w:val="24"/>
              </w:rPr>
              <w:t>Sintomas físicos incluindo dor</w:t>
            </w:r>
          </w:p>
        </w:tc>
        <w:tc>
          <w:tcPr>
            <w:tcW w:w="2268" w:type="dxa"/>
            <w:gridSpan w:val="2"/>
            <w:tcBorders>
              <w:top w:val="single" w:sz="8" w:space="0" w:color="000000"/>
              <w:left w:val="nil"/>
              <w:bottom w:val="single" w:sz="8" w:space="0" w:color="000000"/>
              <w:right w:val="nil"/>
            </w:tcBorders>
            <w:shd w:val="clear" w:color="auto" w:fill="D9D9D9"/>
            <w:tcMar>
              <w:top w:w="72" w:type="dxa"/>
              <w:bottom w:w="72"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b/>
                <w:bCs/>
                <w:sz w:val="24"/>
                <w:szCs w:val="24"/>
              </w:rPr>
              <w:t>Sintomas físicos excluindo dor</w:t>
            </w:r>
          </w:p>
        </w:tc>
      </w:tr>
      <w:tr w:rsidR="00B21BC4" w:rsidRPr="00DE6D90" w:rsidTr="007F45EE">
        <w:trPr>
          <w:trHeight w:val="570"/>
          <w:jc w:val="center"/>
        </w:trPr>
        <w:tc>
          <w:tcPr>
            <w:tcW w:w="0" w:type="auto"/>
            <w:vMerge/>
            <w:tcBorders>
              <w:top w:val="single" w:sz="8" w:space="0" w:color="000000"/>
              <w:left w:val="nil"/>
              <w:bottom w:val="single" w:sz="8" w:space="0" w:color="000000"/>
              <w:right w:val="nil"/>
            </w:tcBorders>
            <w:vAlign w:val="center"/>
          </w:tcPr>
          <w:p w:rsidR="00B21BC4" w:rsidRPr="00DE6D90" w:rsidRDefault="00B21BC4" w:rsidP="007F45EE">
            <w:pPr>
              <w:spacing w:line="360" w:lineRule="auto"/>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nil"/>
            </w:tcBorders>
            <w:shd w:val="clear" w:color="auto" w:fill="D9D9D9"/>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Com DTM</w:t>
            </w:r>
          </w:p>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 xml:space="preserve"> 21 (%)</w:t>
            </w:r>
          </w:p>
        </w:tc>
        <w:tc>
          <w:tcPr>
            <w:tcW w:w="1134" w:type="dxa"/>
            <w:tcBorders>
              <w:top w:val="single" w:sz="8" w:space="0" w:color="000000"/>
              <w:left w:val="nil"/>
              <w:bottom w:val="single" w:sz="8" w:space="0" w:color="000000"/>
              <w:right w:val="nil"/>
            </w:tcBorders>
            <w:shd w:val="clear" w:color="auto" w:fill="D9D9D9"/>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Sem DTM</w:t>
            </w:r>
          </w:p>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16 (%)</w:t>
            </w:r>
          </w:p>
        </w:tc>
        <w:tc>
          <w:tcPr>
            <w:tcW w:w="1134"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Com DTM</w:t>
            </w:r>
          </w:p>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21 (%)</w:t>
            </w:r>
          </w:p>
        </w:tc>
        <w:tc>
          <w:tcPr>
            <w:tcW w:w="1134" w:type="dxa"/>
            <w:tcBorders>
              <w:top w:val="single" w:sz="8" w:space="0" w:color="000000"/>
              <w:left w:val="nil"/>
              <w:bottom w:val="single" w:sz="8" w:space="0" w:color="000000"/>
              <w:right w:val="nil"/>
            </w:tcBorders>
            <w:shd w:val="clear" w:color="auto" w:fill="FFFFFF"/>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Sem DTM</w:t>
            </w:r>
          </w:p>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16 (%)</w:t>
            </w:r>
          </w:p>
        </w:tc>
        <w:tc>
          <w:tcPr>
            <w:tcW w:w="1134" w:type="dxa"/>
            <w:tcBorders>
              <w:top w:val="single" w:sz="8" w:space="0" w:color="000000"/>
              <w:left w:val="nil"/>
              <w:bottom w:val="single" w:sz="8" w:space="0" w:color="000000"/>
              <w:right w:val="nil"/>
            </w:tcBorders>
            <w:shd w:val="clear" w:color="auto" w:fill="D9D9D9"/>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Com DTM</w:t>
            </w:r>
          </w:p>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21 (%)</w:t>
            </w:r>
          </w:p>
        </w:tc>
        <w:tc>
          <w:tcPr>
            <w:tcW w:w="1134" w:type="dxa"/>
            <w:tcBorders>
              <w:top w:val="single" w:sz="8" w:space="0" w:color="000000"/>
              <w:left w:val="nil"/>
              <w:bottom w:val="single" w:sz="8" w:space="0" w:color="000000"/>
              <w:right w:val="single" w:sz="4" w:space="0" w:color="auto"/>
            </w:tcBorders>
            <w:shd w:val="clear" w:color="auto" w:fill="D9D9D9"/>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Sem DTM</w:t>
            </w:r>
          </w:p>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16 (%)</w:t>
            </w:r>
          </w:p>
        </w:tc>
      </w:tr>
      <w:tr w:rsidR="00B21BC4" w:rsidRPr="00DE6D90" w:rsidTr="007F45EE">
        <w:trPr>
          <w:trHeight w:val="431"/>
          <w:jc w:val="center"/>
        </w:trPr>
        <w:tc>
          <w:tcPr>
            <w:tcW w:w="3055" w:type="dxa"/>
            <w:tcBorders>
              <w:top w:val="single" w:sz="8" w:space="0" w:color="000000"/>
              <w:left w:val="nil"/>
              <w:bottom w:val="nil"/>
              <w:right w:val="nil"/>
            </w:tcBorders>
            <w:vAlign w:val="center"/>
          </w:tcPr>
          <w:p w:rsidR="00B21BC4" w:rsidRPr="00DE6D90" w:rsidRDefault="00B21BC4" w:rsidP="007F45EE">
            <w:pPr>
              <w:spacing w:line="360" w:lineRule="auto"/>
              <w:rPr>
                <w:rFonts w:ascii="Times New Roman" w:hAnsi="Times New Roman" w:cs="Times New Roman"/>
                <w:sz w:val="24"/>
                <w:szCs w:val="24"/>
              </w:rPr>
            </w:pPr>
            <w:r w:rsidRPr="00DE6D90">
              <w:rPr>
                <w:rFonts w:ascii="Times New Roman" w:hAnsi="Times New Roman" w:cs="Times New Roman"/>
                <w:b/>
                <w:bCs/>
                <w:sz w:val="24"/>
                <w:szCs w:val="24"/>
              </w:rPr>
              <w:t>NORMAL</w:t>
            </w:r>
          </w:p>
        </w:tc>
        <w:tc>
          <w:tcPr>
            <w:tcW w:w="1134" w:type="dxa"/>
            <w:tcBorders>
              <w:top w:val="single" w:sz="8" w:space="0" w:color="000000"/>
              <w:left w:val="nil"/>
              <w:bottom w:val="nil"/>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8 (38,1)</w:t>
            </w:r>
          </w:p>
        </w:tc>
        <w:tc>
          <w:tcPr>
            <w:tcW w:w="1134" w:type="dxa"/>
            <w:tcBorders>
              <w:top w:val="single" w:sz="8" w:space="0" w:color="000000"/>
              <w:left w:val="nil"/>
              <w:bottom w:val="nil"/>
              <w:right w:val="nil"/>
            </w:tcBorders>
            <w:shd w:val="clear" w:color="auto" w:fill="D9D9D9"/>
            <w:tcMar>
              <w:top w:w="15" w:type="dxa"/>
              <w:left w:w="93" w:type="dxa"/>
              <w:bottom w:w="72" w:type="dxa"/>
              <w:right w:w="93"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10 (62,5)</w:t>
            </w:r>
          </w:p>
        </w:tc>
        <w:tc>
          <w:tcPr>
            <w:tcW w:w="1134" w:type="dxa"/>
            <w:tcBorders>
              <w:top w:val="single" w:sz="8" w:space="0" w:color="000000"/>
              <w:left w:val="nil"/>
              <w:bottom w:val="nil"/>
              <w:right w:val="nil"/>
            </w:tcBorders>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7 (33,3)</w:t>
            </w:r>
          </w:p>
        </w:tc>
        <w:tc>
          <w:tcPr>
            <w:tcW w:w="1134" w:type="dxa"/>
            <w:tcBorders>
              <w:top w:val="single" w:sz="8" w:space="0" w:color="000000"/>
              <w:left w:val="nil"/>
              <w:bottom w:val="nil"/>
              <w:right w:val="nil"/>
            </w:tcBorders>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10 (62,6)</w:t>
            </w:r>
          </w:p>
        </w:tc>
        <w:tc>
          <w:tcPr>
            <w:tcW w:w="1134" w:type="dxa"/>
            <w:tcBorders>
              <w:top w:val="single" w:sz="8" w:space="0" w:color="000000"/>
              <w:left w:val="nil"/>
              <w:bottom w:val="nil"/>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8 (38,1)</w:t>
            </w:r>
          </w:p>
        </w:tc>
        <w:tc>
          <w:tcPr>
            <w:tcW w:w="1134" w:type="dxa"/>
            <w:tcBorders>
              <w:top w:val="single" w:sz="8" w:space="0" w:color="000000"/>
              <w:left w:val="nil"/>
              <w:bottom w:val="nil"/>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13 (81,2)</w:t>
            </w:r>
          </w:p>
        </w:tc>
      </w:tr>
      <w:tr w:rsidR="00B21BC4" w:rsidRPr="00DE6D90" w:rsidTr="007F45EE">
        <w:trPr>
          <w:trHeight w:val="431"/>
          <w:jc w:val="center"/>
        </w:trPr>
        <w:tc>
          <w:tcPr>
            <w:tcW w:w="3055" w:type="dxa"/>
            <w:tcBorders>
              <w:top w:val="nil"/>
              <w:left w:val="nil"/>
              <w:bottom w:val="nil"/>
              <w:right w:val="nil"/>
            </w:tcBorders>
            <w:shd w:val="clear" w:color="auto" w:fill="E7E7E7"/>
            <w:vAlign w:val="center"/>
          </w:tcPr>
          <w:p w:rsidR="00B21BC4" w:rsidRPr="00DE6D90" w:rsidRDefault="00B21BC4" w:rsidP="007F45EE">
            <w:pPr>
              <w:spacing w:line="360" w:lineRule="auto"/>
              <w:rPr>
                <w:rFonts w:ascii="Times New Roman" w:hAnsi="Times New Roman" w:cs="Times New Roman"/>
                <w:sz w:val="24"/>
                <w:szCs w:val="24"/>
              </w:rPr>
            </w:pPr>
            <w:r w:rsidRPr="00DE6D90">
              <w:rPr>
                <w:rFonts w:ascii="Times New Roman" w:hAnsi="Times New Roman" w:cs="Times New Roman"/>
                <w:b/>
                <w:bCs/>
                <w:sz w:val="24"/>
                <w:szCs w:val="24"/>
              </w:rPr>
              <w:t>MODERADO</w:t>
            </w:r>
          </w:p>
        </w:tc>
        <w:tc>
          <w:tcPr>
            <w:tcW w:w="1134" w:type="dxa"/>
            <w:tcBorders>
              <w:top w:val="nil"/>
              <w:left w:val="nil"/>
              <w:bottom w:val="nil"/>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6 (28,6)</w:t>
            </w:r>
          </w:p>
        </w:tc>
        <w:tc>
          <w:tcPr>
            <w:tcW w:w="1134" w:type="dxa"/>
            <w:tcBorders>
              <w:top w:val="nil"/>
              <w:left w:val="nil"/>
              <w:bottom w:val="nil"/>
              <w:right w:val="nil"/>
            </w:tcBorders>
            <w:shd w:val="clear" w:color="auto" w:fill="D9D9D9"/>
            <w:tcMar>
              <w:top w:w="15" w:type="dxa"/>
              <w:left w:w="93" w:type="dxa"/>
              <w:bottom w:w="72" w:type="dxa"/>
              <w:right w:w="93"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5 (31,2)</w:t>
            </w:r>
          </w:p>
        </w:tc>
        <w:tc>
          <w:tcPr>
            <w:tcW w:w="1134" w:type="dxa"/>
            <w:tcBorders>
              <w:top w:val="nil"/>
              <w:left w:val="nil"/>
              <w:bottom w:val="nil"/>
              <w:right w:val="nil"/>
            </w:tcBorders>
            <w:shd w:val="clear" w:color="auto" w:fill="FFFFFF"/>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3 (14,3)</w:t>
            </w:r>
          </w:p>
        </w:tc>
        <w:tc>
          <w:tcPr>
            <w:tcW w:w="1134" w:type="dxa"/>
            <w:tcBorders>
              <w:top w:val="nil"/>
              <w:left w:val="nil"/>
              <w:bottom w:val="nil"/>
              <w:right w:val="nil"/>
            </w:tcBorders>
            <w:shd w:val="clear" w:color="auto" w:fill="FFFFFF"/>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3 (18,7)</w:t>
            </w:r>
          </w:p>
        </w:tc>
        <w:tc>
          <w:tcPr>
            <w:tcW w:w="1134" w:type="dxa"/>
            <w:tcBorders>
              <w:top w:val="nil"/>
              <w:left w:val="nil"/>
              <w:bottom w:val="nil"/>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5 (23,8)</w:t>
            </w:r>
          </w:p>
        </w:tc>
        <w:tc>
          <w:tcPr>
            <w:tcW w:w="1134" w:type="dxa"/>
            <w:tcBorders>
              <w:top w:val="nil"/>
              <w:left w:val="nil"/>
              <w:bottom w:val="nil"/>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3 (18,8)</w:t>
            </w:r>
          </w:p>
        </w:tc>
      </w:tr>
      <w:tr w:rsidR="00B21BC4" w:rsidRPr="00DE6D90" w:rsidTr="007F45EE">
        <w:trPr>
          <w:trHeight w:val="431"/>
          <w:jc w:val="center"/>
        </w:trPr>
        <w:tc>
          <w:tcPr>
            <w:tcW w:w="3055" w:type="dxa"/>
            <w:tcBorders>
              <w:top w:val="nil"/>
              <w:left w:val="nil"/>
              <w:bottom w:val="single" w:sz="8" w:space="0" w:color="000000"/>
              <w:right w:val="nil"/>
            </w:tcBorders>
            <w:vAlign w:val="center"/>
          </w:tcPr>
          <w:p w:rsidR="00B21BC4" w:rsidRPr="00DE6D90" w:rsidRDefault="00B21BC4" w:rsidP="007F45EE">
            <w:pPr>
              <w:spacing w:line="360" w:lineRule="auto"/>
              <w:rPr>
                <w:rFonts w:ascii="Times New Roman" w:hAnsi="Times New Roman" w:cs="Times New Roman"/>
                <w:sz w:val="24"/>
                <w:szCs w:val="24"/>
              </w:rPr>
            </w:pPr>
            <w:r w:rsidRPr="00DE6D90">
              <w:rPr>
                <w:rFonts w:ascii="Times New Roman" w:hAnsi="Times New Roman" w:cs="Times New Roman"/>
                <w:b/>
                <w:bCs/>
                <w:sz w:val="24"/>
                <w:szCs w:val="24"/>
              </w:rPr>
              <w:lastRenderedPageBreak/>
              <w:t>SEVERO</w:t>
            </w:r>
          </w:p>
        </w:tc>
        <w:tc>
          <w:tcPr>
            <w:tcW w:w="1134" w:type="dxa"/>
            <w:tcBorders>
              <w:top w:val="nil"/>
              <w:left w:val="nil"/>
              <w:bottom w:val="single" w:sz="8" w:space="0" w:color="000000"/>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7 (33,3)</w:t>
            </w:r>
          </w:p>
        </w:tc>
        <w:tc>
          <w:tcPr>
            <w:tcW w:w="1134" w:type="dxa"/>
            <w:tcBorders>
              <w:top w:val="nil"/>
              <w:left w:val="nil"/>
              <w:bottom w:val="single" w:sz="8" w:space="0" w:color="000000"/>
              <w:right w:val="nil"/>
            </w:tcBorders>
            <w:shd w:val="clear" w:color="auto" w:fill="D9D9D9"/>
            <w:tcMar>
              <w:top w:w="15" w:type="dxa"/>
              <w:left w:w="93" w:type="dxa"/>
              <w:bottom w:w="72" w:type="dxa"/>
              <w:right w:w="93"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 (6,3)</w:t>
            </w:r>
          </w:p>
        </w:tc>
        <w:tc>
          <w:tcPr>
            <w:tcW w:w="1134" w:type="dxa"/>
            <w:tcBorders>
              <w:top w:val="nil"/>
              <w:left w:val="nil"/>
              <w:bottom w:val="single" w:sz="8" w:space="0" w:color="000000"/>
              <w:right w:val="nil"/>
            </w:tcBorders>
            <w:tcMar>
              <w:top w:w="72" w:type="dxa"/>
              <w:left w:w="144" w:type="dxa"/>
              <w:bottom w:w="72"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11 (52,4)</w:t>
            </w:r>
          </w:p>
        </w:tc>
        <w:tc>
          <w:tcPr>
            <w:tcW w:w="1134" w:type="dxa"/>
            <w:tcBorders>
              <w:top w:val="nil"/>
              <w:left w:val="nil"/>
              <w:bottom w:val="single" w:sz="8" w:space="0" w:color="000000"/>
              <w:right w:val="nil"/>
            </w:tcBorders>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3 (18,7)</w:t>
            </w:r>
          </w:p>
        </w:tc>
        <w:tc>
          <w:tcPr>
            <w:tcW w:w="1134" w:type="dxa"/>
            <w:tcBorders>
              <w:top w:val="nil"/>
              <w:left w:val="nil"/>
              <w:bottom w:val="single" w:sz="8" w:space="0" w:color="000000"/>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8 (38,1)</w:t>
            </w:r>
          </w:p>
        </w:tc>
        <w:tc>
          <w:tcPr>
            <w:tcW w:w="1134" w:type="dxa"/>
            <w:tcBorders>
              <w:top w:val="nil"/>
              <w:left w:val="nil"/>
              <w:bottom w:val="single" w:sz="8" w:space="0" w:color="000000"/>
              <w:right w:val="nil"/>
            </w:tcBorders>
            <w:shd w:val="clear" w:color="auto" w:fill="D9D9D9"/>
            <w:tcMar>
              <w:left w:w="144" w:type="dxa"/>
              <w:right w:w="144" w:type="dxa"/>
            </w:tcMar>
            <w:vAlign w:val="center"/>
          </w:tcPr>
          <w:p w:rsidR="00B21BC4" w:rsidRPr="00DE6D90" w:rsidRDefault="00B21BC4" w:rsidP="007F45EE">
            <w:pPr>
              <w:spacing w:line="360" w:lineRule="auto"/>
              <w:jc w:val="center"/>
              <w:rPr>
                <w:rFonts w:ascii="Times New Roman" w:hAnsi="Times New Roman" w:cs="Times New Roman"/>
                <w:sz w:val="24"/>
                <w:szCs w:val="24"/>
              </w:rPr>
            </w:pPr>
            <w:r w:rsidRPr="00DE6D90">
              <w:rPr>
                <w:rFonts w:ascii="Times New Roman" w:hAnsi="Times New Roman" w:cs="Times New Roman"/>
                <w:sz w:val="24"/>
                <w:szCs w:val="24"/>
              </w:rPr>
              <w:t>0 (0)</w:t>
            </w:r>
          </w:p>
        </w:tc>
      </w:tr>
    </w:tbl>
    <w:p w:rsidR="00B21BC4" w:rsidRDefault="00B21BC4" w:rsidP="00B21BC4">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Fonte</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autores</w:t>
      </w:r>
      <w:proofErr w:type="spellEnd"/>
      <w:r>
        <w:rPr>
          <w:rFonts w:ascii="Times New Roman" w:hAnsi="Times New Roman" w:cs="Times New Roman"/>
          <w:sz w:val="24"/>
          <w:szCs w:val="24"/>
          <w:lang w:val="en-US"/>
        </w:rPr>
        <w:t xml:space="preserve"> (2015)”</w:t>
      </w:r>
    </w:p>
    <w:p w:rsidR="00B21BC4" w:rsidRDefault="00B21BC4" w:rsidP="00B56B46">
      <w:pPr>
        <w:tabs>
          <w:tab w:val="left" w:pos="900"/>
        </w:tabs>
        <w:suppressAutoHyphens/>
        <w:jc w:val="both"/>
        <w:rPr>
          <w:rFonts w:ascii="Times New Roman" w:hAnsi="Times New Roman" w:cs="Times New Roman"/>
          <w:bCs/>
          <w:lang w:val="en-US"/>
        </w:rPr>
      </w:pPr>
    </w:p>
    <w:p w:rsidR="00B56B46" w:rsidRPr="00B56B46" w:rsidRDefault="00402E82" w:rsidP="00B56B46">
      <w:pPr>
        <w:tabs>
          <w:tab w:val="left" w:pos="900"/>
        </w:tabs>
        <w:suppressAutoHyphens/>
        <w:jc w:val="both"/>
        <w:rPr>
          <w:b/>
          <w:color w:val="000000"/>
        </w:rPr>
      </w:pPr>
      <w:proofErr w:type="gramStart"/>
      <w:r w:rsidRPr="00402E82">
        <w:rPr>
          <w:rFonts w:ascii="Times New Roman" w:hAnsi="Times New Roman" w:cs="Times New Roman"/>
          <w:bCs/>
          <w:lang w:val="en-US"/>
        </w:rPr>
        <w:t>4</w:t>
      </w:r>
      <w:proofErr w:type="gramEnd"/>
      <w:r>
        <w:rPr>
          <w:rFonts w:ascii="Times New Roman" w:hAnsi="Times New Roman" w:cs="Times New Roman"/>
          <w:b/>
          <w:bCs/>
          <w:lang w:val="en-US"/>
        </w:rPr>
        <w:t xml:space="preserve"> </w:t>
      </w:r>
      <w:r w:rsidR="00067CDE" w:rsidRPr="00DE6D90">
        <w:rPr>
          <w:rFonts w:ascii="Times New Roman" w:hAnsi="Times New Roman" w:cs="Times New Roman"/>
          <w:b/>
          <w:bCs/>
          <w:lang w:val="en-US"/>
        </w:rPr>
        <w:t>DISCUSSÃO</w:t>
      </w:r>
      <w:r w:rsidR="00B56B46">
        <w:rPr>
          <w:rFonts w:ascii="Times New Roman" w:hAnsi="Times New Roman" w:cs="Times New Roman"/>
          <w:b/>
          <w:bCs/>
          <w:lang w:val="en-US"/>
        </w:rPr>
        <w:t xml:space="preserve"> </w:t>
      </w:r>
    </w:p>
    <w:p w:rsidR="00067CDE" w:rsidRPr="00DE6D90" w:rsidRDefault="00067CDE" w:rsidP="00DE6D90">
      <w:pPr>
        <w:pStyle w:val="Ttulo2"/>
        <w:spacing w:line="480" w:lineRule="auto"/>
        <w:rPr>
          <w:rFonts w:ascii="Times New Roman" w:hAnsi="Times New Roman" w:cs="Times New Roman"/>
          <w:b/>
          <w:bCs/>
          <w:lang w:val="en-US"/>
        </w:rPr>
      </w:pP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Apesar da etiologia multifatorial, atualmente, especula-se que o aumento da atividade de </w:t>
      </w:r>
      <w:proofErr w:type="spellStart"/>
      <w:r w:rsidRPr="00DE6D90">
        <w:rPr>
          <w:rFonts w:ascii="Times New Roman" w:hAnsi="Times New Roman" w:cs="Times New Roman"/>
          <w:sz w:val="24"/>
          <w:szCs w:val="24"/>
        </w:rPr>
        <w:t>metaloproteinases</w:t>
      </w:r>
      <w:proofErr w:type="spellEnd"/>
      <w:r w:rsidRPr="00DE6D90">
        <w:rPr>
          <w:rFonts w:ascii="Times New Roman" w:hAnsi="Times New Roman" w:cs="Times New Roman"/>
          <w:sz w:val="24"/>
          <w:szCs w:val="24"/>
        </w:rPr>
        <w:t xml:space="preserve"> de matriz (</w:t>
      </w:r>
      <w:proofErr w:type="spellStart"/>
      <w:r w:rsidRPr="00DE6D90">
        <w:rPr>
          <w:rFonts w:ascii="Times New Roman" w:hAnsi="Times New Roman" w:cs="Times New Roman"/>
          <w:sz w:val="24"/>
          <w:szCs w:val="24"/>
        </w:rPr>
        <w:t>MMPs</w:t>
      </w:r>
      <w:proofErr w:type="spellEnd"/>
      <w:r w:rsidRPr="00DE6D90">
        <w:rPr>
          <w:rFonts w:ascii="Times New Roman" w:hAnsi="Times New Roman" w:cs="Times New Roman"/>
          <w:sz w:val="24"/>
          <w:szCs w:val="24"/>
        </w:rPr>
        <w:t xml:space="preserve">), seja um dos fatores mais importantes que levam ao aumento da incidência de DTM entre mulheres </w:t>
      </w:r>
      <w:r w:rsidRPr="004B3189">
        <w:rPr>
          <w:rFonts w:ascii="Times New Roman" w:hAnsi="Times New Roman" w:cs="Times New Roman"/>
          <w:bCs/>
          <w:sz w:val="24"/>
          <w:szCs w:val="24"/>
        </w:rPr>
        <w:t>(SOYDAN</w:t>
      </w:r>
      <w:r w:rsidR="004B3189" w:rsidRPr="004B3189">
        <w:rPr>
          <w:rFonts w:ascii="Times New Roman" w:hAnsi="Times New Roman" w:cs="Times New Roman"/>
          <w:bCs/>
          <w:sz w:val="24"/>
          <w:szCs w:val="24"/>
        </w:rPr>
        <w:t xml:space="preserve"> et al.</w:t>
      </w:r>
      <w:r w:rsidRPr="004B3189">
        <w:rPr>
          <w:rFonts w:ascii="Times New Roman" w:hAnsi="Times New Roman" w:cs="Times New Roman"/>
          <w:bCs/>
          <w:sz w:val="24"/>
          <w:szCs w:val="24"/>
        </w:rPr>
        <w:t>, 2014)</w:t>
      </w:r>
      <w:r w:rsidRPr="00DE6D90">
        <w:rPr>
          <w:rFonts w:ascii="Times New Roman" w:hAnsi="Times New Roman" w:cs="Times New Roman"/>
          <w:sz w:val="24"/>
          <w:szCs w:val="24"/>
        </w:rPr>
        <w:t xml:space="preserve">. As </w:t>
      </w:r>
      <w:proofErr w:type="spellStart"/>
      <w:r w:rsidRPr="00DE6D90">
        <w:rPr>
          <w:rFonts w:ascii="Times New Roman" w:hAnsi="Times New Roman" w:cs="Times New Roman"/>
          <w:sz w:val="24"/>
          <w:szCs w:val="24"/>
        </w:rPr>
        <w:t>MMPs</w:t>
      </w:r>
      <w:proofErr w:type="spellEnd"/>
      <w:r w:rsidRPr="00DE6D90">
        <w:rPr>
          <w:rFonts w:ascii="Times New Roman" w:hAnsi="Times New Roman" w:cs="Times New Roman"/>
          <w:sz w:val="24"/>
          <w:szCs w:val="24"/>
        </w:rPr>
        <w:t xml:space="preserve"> desempenham papel crucial na remodelação de tecidos e durante o desenvolvimento de órgãos, através do rearranjo da matriz extracelular, bem como pela modulação específica de vias de sinalização, estritamente controladas </w:t>
      </w:r>
      <w:r w:rsidR="004B3189" w:rsidRPr="004B3189">
        <w:rPr>
          <w:rFonts w:ascii="Times New Roman" w:hAnsi="Times New Roman" w:cs="Times New Roman"/>
          <w:bCs/>
          <w:sz w:val="24"/>
          <w:szCs w:val="24"/>
        </w:rPr>
        <w:t xml:space="preserve">(KESSENBROCK; </w:t>
      </w:r>
      <w:r w:rsidR="004B3189" w:rsidRPr="004B3189">
        <w:rPr>
          <w:rFonts w:ascii="Times New Roman" w:hAnsi="Times New Roman" w:cs="Times New Roman"/>
          <w:sz w:val="24"/>
          <w:szCs w:val="24"/>
          <w:lang w:val="nl-NL"/>
        </w:rPr>
        <w:t>CHIH-YANG; WERB,</w:t>
      </w:r>
      <w:r w:rsidRPr="004B3189">
        <w:rPr>
          <w:rFonts w:ascii="Times New Roman" w:hAnsi="Times New Roman" w:cs="Times New Roman"/>
          <w:bCs/>
          <w:sz w:val="24"/>
          <w:szCs w:val="24"/>
        </w:rPr>
        <w:t xml:space="preserve"> 2015)</w:t>
      </w:r>
      <w:r w:rsidRPr="00DE6D90">
        <w:rPr>
          <w:rFonts w:ascii="Times New Roman" w:hAnsi="Times New Roman" w:cs="Times New Roman"/>
          <w:sz w:val="24"/>
          <w:szCs w:val="24"/>
        </w:rPr>
        <w:t>.</w:t>
      </w:r>
      <w:r w:rsidR="004B3189">
        <w:rPr>
          <w:rFonts w:ascii="Times New Roman" w:hAnsi="Times New Roman" w:cs="Times New Roman"/>
          <w:sz w:val="24"/>
          <w:szCs w:val="24"/>
        </w:rPr>
        <w:t xml:space="preserve"> </w:t>
      </w:r>
      <w:r w:rsidRPr="00DE6D90">
        <w:rPr>
          <w:rFonts w:ascii="Times New Roman" w:hAnsi="Times New Roman" w:cs="Times New Roman"/>
          <w:sz w:val="24"/>
          <w:szCs w:val="24"/>
        </w:rPr>
        <w:t xml:space="preserve">Os hormônios estrogênio, progesterona e </w:t>
      </w:r>
      <w:proofErr w:type="spellStart"/>
      <w:r w:rsidRPr="00DE6D90">
        <w:rPr>
          <w:rFonts w:ascii="Times New Roman" w:hAnsi="Times New Roman" w:cs="Times New Roman"/>
          <w:sz w:val="24"/>
          <w:szCs w:val="24"/>
        </w:rPr>
        <w:t>relaxina</w:t>
      </w:r>
      <w:proofErr w:type="spellEnd"/>
      <w:r w:rsidRPr="00DE6D90">
        <w:rPr>
          <w:rFonts w:ascii="Times New Roman" w:hAnsi="Times New Roman" w:cs="Times New Roman"/>
          <w:sz w:val="24"/>
          <w:szCs w:val="24"/>
        </w:rPr>
        <w:t xml:space="preserve"> por sua vez, são alguns</w:t>
      </w:r>
      <w:r w:rsidRPr="00DE6D90">
        <w:rPr>
          <w:rFonts w:ascii="Times New Roman" w:hAnsi="Times New Roman" w:cs="Times New Roman"/>
          <w:color w:val="FF0000"/>
          <w:sz w:val="24"/>
          <w:szCs w:val="24"/>
        </w:rPr>
        <w:t xml:space="preserve"> </w:t>
      </w:r>
      <w:r w:rsidRPr="00DE6D90">
        <w:rPr>
          <w:rFonts w:ascii="Times New Roman" w:hAnsi="Times New Roman" w:cs="Times New Roman"/>
          <w:sz w:val="24"/>
          <w:szCs w:val="24"/>
        </w:rPr>
        <w:t xml:space="preserve">dos responsáveis por esta modulação, sendo que a interrupção da homeostase envolvendo as </w:t>
      </w:r>
      <w:proofErr w:type="spellStart"/>
      <w:r w:rsidRPr="00DE6D90">
        <w:rPr>
          <w:rFonts w:ascii="Times New Roman" w:hAnsi="Times New Roman" w:cs="Times New Roman"/>
          <w:sz w:val="24"/>
          <w:szCs w:val="24"/>
        </w:rPr>
        <w:t>MMPs</w:t>
      </w:r>
      <w:proofErr w:type="spellEnd"/>
      <w:r w:rsidRPr="00DE6D90">
        <w:rPr>
          <w:rFonts w:ascii="Times New Roman" w:hAnsi="Times New Roman" w:cs="Times New Roman"/>
          <w:sz w:val="24"/>
          <w:szCs w:val="24"/>
        </w:rPr>
        <w:t xml:space="preserve">, podem resultar em doenças articulares, bem como dor na região orofacial </w:t>
      </w:r>
      <w:r w:rsidR="004B3189" w:rsidRPr="004B3189">
        <w:rPr>
          <w:rFonts w:ascii="Times New Roman" w:hAnsi="Times New Roman" w:cs="Times New Roman"/>
          <w:bCs/>
          <w:sz w:val="24"/>
          <w:szCs w:val="24"/>
        </w:rPr>
        <w:t xml:space="preserve">(LEONARDI; </w:t>
      </w:r>
      <w:r w:rsidR="004B3189" w:rsidRPr="004B3189">
        <w:rPr>
          <w:rFonts w:ascii="Times New Roman" w:hAnsi="Times New Roman" w:cs="Times New Roman"/>
          <w:sz w:val="24"/>
          <w:szCs w:val="24"/>
          <w:lang w:val="en-US"/>
        </w:rPr>
        <w:t>CALTABIANO; LORETO,</w:t>
      </w:r>
      <w:r w:rsidR="004B3189" w:rsidRPr="004B3189">
        <w:rPr>
          <w:rFonts w:ascii="Times New Roman" w:hAnsi="Times New Roman" w:cs="Times New Roman"/>
          <w:bCs/>
          <w:sz w:val="24"/>
          <w:szCs w:val="24"/>
        </w:rPr>
        <w:t xml:space="preserve"> 2005</w:t>
      </w:r>
      <w:r w:rsidRPr="004B3189">
        <w:rPr>
          <w:rFonts w:ascii="Times New Roman" w:hAnsi="Times New Roman" w:cs="Times New Roman"/>
          <w:bCs/>
          <w:sz w:val="24"/>
          <w:szCs w:val="24"/>
        </w:rPr>
        <w:t>)</w:t>
      </w:r>
      <w:r w:rsidRPr="00DE6D90">
        <w:rPr>
          <w:rFonts w:ascii="Times New Roman" w:hAnsi="Times New Roman" w:cs="Times New Roman"/>
          <w:sz w:val="24"/>
          <w:szCs w:val="24"/>
        </w:rPr>
        <w:t>.  Em mulheres com SOP, devido a alteração hormonal, o estrogênio induz a expressão das</w:t>
      </w:r>
      <w:r w:rsidR="004B3189">
        <w:rPr>
          <w:rFonts w:ascii="Times New Roman" w:hAnsi="Times New Roman" w:cs="Times New Roman"/>
          <w:sz w:val="24"/>
          <w:szCs w:val="24"/>
        </w:rPr>
        <w:t xml:space="preserve"> </w:t>
      </w:r>
      <w:r w:rsidRPr="00DE6D90">
        <w:rPr>
          <w:rFonts w:ascii="Times New Roman" w:hAnsi="Times New Roman" w:cs="Times New Roman"/>
          <w:sz w:val="24"/>
          <w:szCs w:val="24"/>
        </w:rPr>
        <w:t xml:space="preserve">MMP-3, -9, e -13 em várias células, incluindo as fibrocartilaginosas </w:t>
      </w:r>
      <w:r w:rsidRPr="00FD2318">
        <w:rPr>
          <w:rFonts w:ascii="Times New Roman" w:hAnsi="Times New Roman" w:cs="Times New Roman"/>
          <w:bCs/>
          <w:sz w:val="24"/>
          <w:szCs w:val="24"/>
        </w:rPr>
        <w:t>(Lu</w:t>
      </w:r>
      <w:r w:rsidR="00FD2318" w:rsidRPr="00FD2318">
        <w:rPr>
          <w:rFonts w:ascii="Times New Roman" w:hAnsi="Times New Roman" w:cs="Times New Roman"/>
          <w:bCs/>
          <w:sz w:val="24"/>
          <w:szCs w:val="24"/>
        </w:rPr>
        <w:t xml:space="preserve"> et al.</w:t>
      </w:r>
      <w:r w:rsidRPr="00FD2318">
        <w:rPr>
          <w:rFonts w:ascii="Times New Roman" w:hAnsi="Times New Roman" w:cs="Times New Roman"/>
          <w:bCs/>
          <w:sz w:val="24"/>
          <w:szCs w:val="24"/>
        </w:rPr>
        <w:t>, 2007)</w:t>
      </w:r>
      <w:r w:rsidRPr="00DE6D90">
        <w:rPr>
          <w:rFonts w:ascii="Times New Roman" w:hAnsi="Times New Roman" w:cs="Times New Roman"/>
          <w:sz w:val="24"/>
          <w:szCs w:val="24"/>
        </w:rPr>
        <w:t xml:space="preserve">. A progesterona (que tem níveis séricos reduzidos nos quadros de </w:t>
      </w:r>
      <w:proofErr w:type="spellStart"/>
      <w:r w:rsidRPr="00DE6D90">
        <w:rPr>
          <w:rFonts w:ascii="Times New Roman" w:hAnsi="Times New Roman" w:cs="Times New Roman"/>
          <w:sz w:val="24"/>
          <w:szCs w:val="24"/>
        </w:rPr>
        <w:t>anovulação</w:t>
      </w:r>
      <w:proofErr w:type="spellEnd"/>
      <w:r w:rsidRPr="00DE6D90">
        <w:rPr>
          <w:rFonts w:ascii="Times New Roman" w:hAnsi="Times New Roman" w:cs="Times New Roman"/>
          <w:sz w:val="24"/>
          <w:szCs w:val="24"/>
        </w:rPr>
        <w:t xml:space="preserve"> presentes na SOP) produz uma diminuição mediada pelo receptor dependente da dose da expressão de MMP-9 em </w:t>
      </w:r>
      <w:proofErr w:type="spellStart"/>
      <w:r w:rsidRPr="00DE6D90">
        <w:rPr>
          <w:rFonts w:ascii="Times New Roman" w:hAnsi="Times New Roman" w:cs="Times New Roman"/>
          <w:sz w:val="24"/>
          <w:szCs w:val="24"/>
        </w:rPr>
        <w:t>trofoblastos</w:t>
      </w:r>
      <w:proofErr w:type="spellEnd"/>
      <w:r w:rsidRPr="00DE6D90">
        <w:rPr>
          <w:rFonts w:ascii="Times New Roman" w:hAnsi="Times New Roman" w:cs="Times New Roman"/>
          <w:sz w:val="24"/>
          <w:szCs w:val="24"/>
        </w:rPr>
        <w:t xml:space="preserve"> </w:t>
      </w:r>
      <w:r w:rsidRPr="00FD2318">
        <w:rPr>
          <w:rFonts w:ascii="Times New Roman" w:hAnsi="Times New Roman" w:cs="Times New Roman"/>
          <w:bCs/>
          <w:sz w:val="24"/>
          <w:szCs w:val="24"/>
        </w:rPr>
        <w:t>(</w:t>
      </w:r>
      <w:r w:rsidR="00FD2318" w:rsidRPr="00FD2318">
        <w:rPr>
          <w:rFonts w:ascii="Times New Roman" w:hAnsi="Times New Roman" w:cs="Times New Roman"/>
          <w:bCs/>
          <w:sz w:val="24"/>
          <w:szCs w:val="24"/>
        </w:rPr>
        <w:t>SHIMONOVITZ et al.</w:t>
      </w:r>
      <w:r w:rsidRPr="00FD2318">
        <w:rPr>
          <w:rFonts w:ascii="Times New Roman" w:hAnsi="Times New Roman" w:cs="Times New Roman"/>
          <w:bCs/>
          <w:sz w:val="24"/>
          <w:szCs w:val="24"/>
        </w:rPr>
        <w:t>, 1998)</w:t>
      </w:r>
      <w:r w:rsidRPr="00DE6D90">
        <w:rPr>
          <w:rFonts w:ascii="Times New Roman" w:hAnsi="Times New Roman" w:cs="Times New Roman"/>
          <w:sz w:val="24"/>
          <w:szCs w:val="24"/>
        </w:rPr>
        <w:t xml:space="preserve">. Já a </w:t>
      </w:r>
      <w:proofErr w:type="spellStart"/>
      <w:r w:rsidRPr="00DE6D90">
        <w:rPr>
          <w:rFonts w:ascii="Times New Roman" w:hAnsi="Times New Roman" w:cs="Times New Roman"/>
          <w:sz w:val="24"/>
          <w:szCs w:val="24"/>
        </w:rPr>
        <w:t>relaxina</w:t>
      </w:r>
      <w:proofErr w:type="spellEnd"/>
      <w:r w:rsidRPr="00DE6D90">
        <w:rPr>
          <w:rFonts w:ascii="Times New Roman" w:hAnsi="Times New Roman" w:cs="Times New Roman"/>
          <w:sz w:val="24"/>
          <w:szCs w:val="24"/>
        </w:rPr>
        <w:t xml:space="preserve">, aumenta o </w:t>
      </w:r>
      <w:proofErr w:type="spellStart"/>
      <w:r w:rsidRPr="00402E82">
        <w:rPr>
          <w:rFonts w:ascii="Times New Roman" w:hAnsi="Times New Roman" w:cs="Times New Roman"/>
          <w:iCs/>
          <w:sz w:val="24"/>
          <w:szCs w:val="24"/>
        </w:rPr>
        <w:t>turnover</w:t>
      </w:r>
      <w:proofErr w:type="spellEnd"/>
      <w:r w:rsidRPr="00402E82">
        <w:rPr>
          <w:rFonts w:ascii="Times New Roman" w:hAnsi="Times New Roman" w:cs="Times New Roman"/>
          <w:sz w:val="24"/>
          <w:szCs w:val="24"/>
        </w:rPr>
        <w:t xml:space="preserve"> </w:t>
      </w:r>
      <w:r w:rsidRPr="00DE6D90">
        <w:rPr>
          <w:rFonts w:ascii="Times New Roman" w:hAnsi="Times New Roman" w:cs="Times New Roman"/>
          <w:sz w:val="24"/>
          <w:szCs w:val="24"/>
        </w:rPr>
        <w:t xml:space="preserve">de fibrocartilagem pela matriz extracelular, e induz a MMP-1 (colagenase-1) e 3 (estromelisina-1), que está associada com a perda de colágeno e </w:t>
      </w:r>
      <w:proofErr w:type="spellStart"/>
      <w:r w:rsidRPr="00DE6D90">
        <w:rPr>
          <w:rFonts w:ascii="Times New Roman" w:hAnsi="Times New Roman" w:cs="Times New Roman"/>
          <w:sz w:val="24"/>
          <w:szCs w:val="24"/>
        </w:rPr>
        <w:t>proteoglicanos</w:t>
      </w:r>
      <w:proofErr w:type="spellEnd"/>
      <w:r w:rsidRPr="00DE6D90">
        <w:rPr>
          <w:rFonts w:ascii="Times New Roman" w:hAnsi="Times New Roman" w:cs="Times New Roman"/>
          <w:sz w:val="24"/>
          <w:szCs w:val="24"/>
        </w:rPr>
        <w:t xml:space="preserve"> do disco articular.</w:t>
      </w:r>
    </w:p>
    <w:p w:rsidR="00A70206"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lastRenderedPageBreak/>
        <w:t>Todos estes fatores, em conjunto, acarretariam</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em risco aumentado para o desenvolvimento de alterações degenerativas dos componentes</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da ATM</w:t>
      </w:r>
      <w:r w:rsidR="001D0964" w:rsidRPr="00DE6D90">
        <w:rPr>
          <w:rFonts w:ascii="Times New Roman" w:hAnsi="Times New Roman" w:cs="Times New Roman"/>
          <w:sz w:val="24"/>
          <w:szCs w:val="24"/>
        </w:rPr>
        <w:t xml:space="preserve"> </w:t>
      </w:r>
      <w:r w:rsidR="00FA6ED3" w:rsidRPr="004B3189">
        <w:rPr>
          <w:rFonts w:ascii="Times New Roman" w:hAnsi="Times New Roman" w:cs="Times New Roman"/>
          <w:bCs/>
          <w:sz w:val="24"/>
          <w:szCs w:val="24"/>
        </w:rPr>
        <w:t>(SOYDAN et al., 2014)</w:t>
      </w:r>
      <w:r w:rsidRPr="00FA6ED3">
        <w:rPr>
          <w:rFonts w:ascii="Times New Roman" w:hAnsi="Times New Roman" w:cs="Times New Roman"/>
          <w:bCs/>
          <w:sz w:val="24"/>
          <w:szCs w:val="24"/>
        </w:rPr>
        <w:t>,</w:t>
      </w:r>
      <w:r w:rsidRPr="00DE6D90">
        <w:rPr>
          <w:rFonts w:ascii="Times New Roman" w:hAnsi="Times New Roman" w:cs="Times New Roman"/>
          <w:b/>
          <w:bCs/>
          <w:sz w:val="24"/>
          <w:szCs w:val="24"/>
        </w:rPr>
        <w:t xml:space="preserve"> </w:t>
      </w:r>
      <w:r w:rsidRPr="00DE6D90">
        <w:rPr>
          <w:rFonts w:ascii="Times New Roman" w:hAnsi="Times New Roman" w:cs="Times New Roman"/>
          <w:sz w:val="24"/>
          <w:szCs w:val="24"/>
        </w:rPr>
        <w:t>apesar de não podermos afirmar, com certeza, o processo envolvido no desenvolvimento de tais alterações.</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Entretanto, a </w:t>
      </w:r>
      <w:proofErr w:type="spellStart"/>
      <w:r w:rsidRPr="00DE6D90">
        <w:rPr>
          <w:rFonts w:ascii="Times New Roman" w:hAnsi="Times New Roman" w:cs="Times New Roman"/>
          <w:sz w:val="24"/>
          <w:szCs w:val="24"/>
        </w:rPr>
        <w:t>cooexistencia</w:t>
      </w:r>
      <w:proofErr w:type="spellEnd"/>
      <w:r w:rsidRPr="00DE6D90">
        <w:rPr>
          <w:rFonts w:ascii="Times New Roman" w:hAnsi="Times New Roman" w:cs="Times New Roman"/>
          <w:sz w:val="24"/>
          <w:szCs w:val="24"/>
        </w:rPr>
        <w:t xml:space="preserve"> destas patologias é considerável: 56,8% das mulheres com SOP possuíram também DTM. </w:t>
      </w:r>
    </w:p>
    <w:p w:rsidR="00067CDE" w:rsidRPr="00DE6D90" w:rsidRDefault="00067CDE" w:rsidP="00402E82">
      <w:pPr>
        <w:suppressAutoHyphens/>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Nos resultados do presente trabalho, observa-se que a maior parte das pacientes com esta </w:t>
      </w:r>
      <w:proofErr w:type="spellStart"/>
      <w:r w:rsidRPr="00DE6D90">
        <w:rPr>
          <w:rFonts w:ascii="Times New Roman" w:hAnsi="Times New Roman" w:cs="Times New Roman"/>
          <w:sz w:val="24"/>
          <w:szCs w:val="24"/>
        </w:rPr>
        <w:t>comorbidade</w:t>
      </w:r>
      <w:proofErr w:type="spellEnd"/>
      <w:r w:rsidRPr="00DE6D90">
        <w:rPr>
          <w:rFonts w:ascii="Times New Roman" w:hAnsi="Times New Roman" w:cs="Times New Roman"/>
          <w:sz w:val="24"/>
          <w:szCs w:val="24"/>
        </w:rPr>
        <w:t xml:space="preserve"> (16,2%) apresentava alterações musculares, representadas pela dor </w:t>
      </w:r>
      <w:proofErr w:type="spellStart"/>
      <w:r w:rsidRPr="00DE6D90">
        <w:rPr>
          <w:rFonts w:ascii="Times New Roman" w:hAnsi="Times New Roman" w:cs="Times New Roman"/>
          <w:sz w:val="24"/>
          <w:szCs w:val="24"/>
        </w:rPr>
        <w:t>miofascial</w:t>
      </w:r>
      <w:proofErr w:type="spellEnd"/>
      <w:r w:rsidRPr="00DE6D90">
        <w:rPr>
          <w:rFonts w:ascii="Times New Roman" w:hAnsi="Times New Roman" w:cs="Times New Roman"/>
          <w:sz w:val="24"/>
          <w:szCs w:val="24"/>
        </w:rPr>
        <w:t xml:space="preserve">. Em um estudo realizado por </w:t>
      </w:r>
      <w:proofErr w:type="spellStart"/>
      <w:r w:rsidRPr="00402E82">
        <w:rPr>
          <w:rFonts w:ascii="Times New Roman" w:hAnsi="Times New Roman" w:cs="Times New Roman"/>
          <w:sz w:val="24"/>
          <w:szCs w:val="24"/>
        </w:rPr>
        <w:t>Soydan</w:t>
      </w:r>
      <w:proofErr w:type="spellEnd"/>
      <w:r w:rsidR="00FA6ED3" w:rsidRPr="00402E82">
        <w:rPr>
          <w:rFonts w:ascii="Times New Roman" w:hAnsi="Times New Roman" w:cs="Times New Roman"/>
          <w:sz w:val="24"/>
          <w:szCs w:val="24"/>
        </w:rPr>
        <w:t xml:space="preserve"> </w:t>
      </w:r>
      <w:r w:rsidR="00402E82" w:rsidRPr="00402E82">
        <w:rPr>
          <w:rFonts w:ascii="Times New Roman" w:hAnsi="Times New Roman" w:cs="Times New Roman"/>
          <w:sz w:val="24"/>
          <w:szCs w:val="24"/>
        </w:rPr>
        <w:t>e outros (</w:t>
      </w:r>
      <w:r w:rsidRPr="00402E82">
        <w:rPr>
          <w:rFonts w:ascii="Times New Roman" w:hAnsi="Times New Roman" w:cs="Times New Roman"/>
          <w:sz w:val="24"/>
          <w:szCs w:val="24"/>
        </w:rPr>
        <w:t>2014</w:t>
      </w:r>
      <w:r w:rsidR="00402E82" w:rsidRPr="00402E82">
        <w:rPr>
          <w:rFonts w:ascii="Times New Roman" w:hAnsi="Times New Roman" w:cs="Times New Roman"/>
          <w:sz w:val="24"/>
          <w:szCs w:val="24"/>
        </w:rPr>
        <w:t>)</w:t>
      </w:r>
      <w:r w:rsidRPr="00DE6D90">
        <w:rPr>
          <w:rFonts w:ascii="Times New Roman" w:hAnsi="Times New Roman" w:cs="Times New Roman"/>
          <w:sz w:val="24"/>
          <w:szCs w:val="24"/>
        </w:rPr>
        <w:t>, foi encontrada incidência e gravidade dos distúrbios da ATM</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mais elevada em pacientes com SOP, sendo a incidência de DTM neste grupo, quatro vezes maior do que em um grupo sem SOP. Adicionalmente, a constatação de que 64% das mulheres com a síndrome apresentam dores musculares</w:t>
      </w:r>
      <w:r w:rsidR="001D0964" w:rsidRPr="00DE6D90">
        <w:rPr>
          <w:rFonts w:ascii="Times New Roman" w:hAnsi="Times New Roman" w:cs="Times New Roman"/>
          <w:sz w:val="24"/>
          <w:szCs w:val="24"/>
        </w:rPr>
        <w:t xml:space="preserve"> </w:t>
      </w:r>
      <w:r w:rsidR="00FA6ED3" w:rsidRPr="00402E82">
        <w:rPr>
          <w:rFonts w:ascii="Times New Roman" w:hAnsi="Times New Roman" w:cs="Times New Roman"/>
          <w:sz w:val="24"/>
          <w:szCs w:val="24"/>
        </w:rPr>
        <w:t>(SOYDAN et al., 2014)</w:t>
      </w:r>
      <w:r w:rsidRPr="00DE6D90">
        <w:rPr>
          <w:rFonts w:ascii="Times New Roman" w:hAnsi="Times New Roman" w:cs="Times New Roman"/>
          <w:sz w:val="24"/>
          <w:szCs w:val="24"/>
        </w:rPr>
        <w:t xml:space="preserve"> corrobora ainda mais com esta manifestação orofacial. </w:t>
      </w:r>
      <w:r w:rsidR="00364C66">
        <w:rPr>
          <w:rFonts w:ascii="Times New Roman" w:hAnsi="Times New Roman" w:cs="Times New Roman"/>
          <w:sz w:val="24"/>
          <w:szCs w:val="24"/>
        </w:rPr>
        <w:t>A</w:t>
      </w:r>
      <w:r w:rsidRPr="00DE6D90">
        <w:rPr>
          <w:rFonts w:ascii="Times New Roman" w:hAnsi="Times New Roman" w:cs="Times New Roman"/>
          <w:sz w:val="24"/>
          <w:szCs w:val="24"/>
        </w:rPr>
        <w:t xml:space="preserve">credita-se </w:t>
      </w:r>
      <w:r w:rsidR="00364C66">
        <w:rPr>
          <w:rFonts w:ascii="Times New Roman" w:hAnsi="Times New Roman" w:cs="Times New Roman"/>
          <w:sz w:val="24"/>
          <w:szCs w:val="24"/>
        </w:rPr>
        <w:t xml:space="preserve">ainda </w:t>
      </w:r>
      <w:r w:rsidRPr="00DE6D90">
        <w:rPr>
          <w:rFonts w:ascii="Times New Roman" w:hAnsi="Times New Roman" w:cs="Times New Roman"/>
          <w:sz w:val="24"/>
          <w:szCs w:val="24"/>
        </w:rPr>
        <w:t xml:space="preserve">que o dano muscular esteja associado a uma reação inflamatória nos músculos, coexistindo com diferentes quadros de mialgia </w:t>
      </w:r>
      <w:r w:rsidRPr="00402E82">
        <w:rPr>
          <w:rFonts w:ascii="Times New Roman" w:hAnsi="Times New Roman" w:cs="Times New Roman"/>
          <w:sz w:val="24"/>
          <w:szCs w:val="24"/>
        </w:rPr>
        <w:t>(</w:t>
      </w:r>
      <w:r w:rsidR="00E311E9" w:rsidRPr="00402E82">
        <w:rPr>
          <w:rFonts w:ascii="Times New Roman" w:hAnsi="Times New Roman" w:cs="Times New Roman"/>
          <w:sz w:val="24"/>
          <w:szCs w:val="24"/>
        </w:rPr>
        <w:t>PROSKE,</w:t>
      </w:r>
      <w:r w:rsidRPr="00402E82">
        <w:rPr>
          <w:rFonts w:ascii="Times New Roman" w:hAnsi="Times New Roman" w:cs="Times New Roman"/>
          <w:sz w:val="24"/>
          <w:szCs w:val="24"/>
        </w:rPr>
        <w:t xml:space="preserve"> 2005)</w:t>
      </w:r>
      <w:r w:rsidRPr="00DE6D90">
        <w:rPr>
          <w:rFonts w:ascii="Times New Roman" w:hAnsi="Times New Roman" w:cs="Times New Roman"/>
          <w:sz w:val="24"/>
          <w:szCs w:val="24"/>
        </w:rPr>
        <w:t xml:space="preserve">. Assim, a regulação de </w:t>
      </w:r>
      <w:proofErr w:type="spellStart"/>
      <w:r w:rsidRPr="00DE6D90">
        <w:rPr>
          <w:rFonts w:ascii="Times New Roman" w:hAnsi="Times New Roman" w:cs="Times New Roman"/>
          <w:sz w:val="24"/>
          <w:szCs w:val="24"/>
        </w:rPr>
        <w:t>citocinas</w:t>
      </w:r>
      <w:proofErr w:type="spellEnd"/>
      <w:r w:rsidRPr="00DE6D90">
        <w:rPr>
          <w:rFonts w:ascii="Times New Roman" w:hAnsi="Times New Roman" w:cs="Times New Roman"/>
          <w:sz w:val="24"/>
          <w:szCs w:val="24"/>
        </w:rPr>
        <w:t xml:space="preserve"> inflamatórias em mulheres com SOP pode ser propícia ao estímulo neurobiológicos da dor e assim aumentara prevalência de quadros álgicos musculares</w:t>
      </w:r>
      <w:r w:rsidR="00A70206" w:rsidRPr="00DE6D90">
        <w:rPr>
          <w:rFonts w:ascii="Times New Roman" w:hAnsi="Times New Roman" w:cs="Times New Roman"/>
          <w:sz w:val="24"/>
          <w:szCs w:val="24"/>
        </w:rPr>
        <w:t xml:space="preserve"> </w:t>
      </w:r>
      <w:r w:rsidR="00E311E9" w:rsidRPr="00402E82">
        <w:rPr>
          <w:rFonts w:ascii="Times New Roman" w:hAnsi="Times New Roman" w:cs="Times New Roman"/>
          <w:sz w:val="24"/>
          <w:szCs w:val="24"/>
        </w:rPr>
        <w:t>(SOYDAN et al., 2014)</w:t>
      </w:r>
      <w:r w:rsidRPr="00DE6D90">
        <w:rPr>
          <w:rFonts w:ascii="Times New Roman" w:hAnsi="Times New Roman" w:cs="Times New Roman"/>
          <w:sz w:val="24"/>
          <w:szCs w:val="24"/>
        </w:rPr>
        <w:t>.</w:t>
      </w: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Avaliando ainda a prevalência dos outros tipos de DTM na amostra, 10,8% apresentaram alterações musculares associadas aos desarranjos do disco articular, enquanto 8,1% manifestaram sinais de </w:t>
      </w:r>
      <w:proofErr w:type="spellStart"/>
      <w:r w:rsidRPr="00DE6D90">
        <w:rPr>
          <w:rFonts w:ascii="Times New Roman" w:hAnsi="Times New Roman" w:cs="Times New Roman"/>
          <w:sz w:val="24"/>
          <w:szCs w:val="24"/>
        </w:rPr>
        <w:t>osteodegeneração</w:t>
      </w:r>
      <w:proofErr w:type="spellEnd"/>
      <w:r w:rsidRPr="00DE6D90">
        <w:rPr>
          <w:rFonts w:ascii="Times New Roman" w:hAnsi="Times New Roman" w:cs="Times New Roman"/>
          <w:sz w:val="24"/>
          <w:szCs w:val="24"/>
        </w:rPr>
        <w:t xml:space="preserve"> da ATM juntamente</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ao desarranjo. Pode-se associar tal informação com aquela</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sobre a modulação álgica e inflamatória</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proporcionada pelos hormônios esteroides e seus </w:t>
      </w:r>
      <w:proofErr w:type="spellStart"/>
      <w:r w:rsidRPr="00DE6D90">
        <w:rPr>
          <w:rFonts w:ascii="Times New Roman" w:hAnsi="Times New Roman" w:cs="Times New Roman"/>
          <w:sz w:val="24"/>
          <w:szCs w:val="24"/>
        </w:rPr>
        <w:t>neuro</w:t>
      </w:r>
      <w:proofErr w:type="spellEnd"/>
      <w:r w:rsidR="003A0185">
        <w:rPr>
          <w:rFonts w:ascii="Times New Roman" w:hAnsi="Times New Roman" w:cs="Times New Roman"/>
          <w:sz w:val="24"/>
          <w:szCs w:val="24"/>
        </w:rPr>
        <w:t>-</w:t>
      </w:r>
      <w:r w:rsidRPr="00DE6D90">
        <w:rPr>
          <w:rFonts w:ascii="Times New Roman" w:hAnsi="Times New Roman" w:cs="Times New Roman"/>
          <w:sz w:val="24"/>
          <w:szCs w:val="24"/>
        </w:rPr>
        <w:t>receptores, principalmente o</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estrogênio. A atuação direta dos monócitos e macrófagos na regulação e produção de </w:t>
      </w:r>
      <w:proofErr w:type="spellStart"/>
      <w:r w:rsidRPr="00DE6D90">
        <w:rPr>
          <w:rFonts w:ascii="Times New Roman" w:hAnsi="Times New Roman" w:cs="Times New Roman"/>
          <w:sz w:val="24"/>
          <w:szCs w:val="24"/>
        </w:rPr>
        <w:t>citocinas</w:t>
      </w:r>
      <w:proofErr w:type="spellEnd"/>
      <w:r w:rsidRPr="00DE6D90">
        <w:rPr>
          <w:rFonts w:ascii="Times New Roman" w:hAnsi="Times New Roman" w:cs="Times New Roman"/>
          <w:sz w:val="24"/>
          <w:szCs w:val="24"/>
        </w:rPr>
        <w:t xml:space="preserve"> na membrana sinovial da ATM é influenciada por estes </w:t>
      </w:r>
      <w:r w:rsidRPr="00DE6D90">
        <w:rPr>
          <w:rFonts w:ascii="Times New Roman" w:hAnsi="Times New Roman" w:cs="Times New Roman"/>
          <w:sz w:val="24"/>
          <w:szCs w:val="24"/>
        </w:rPr>
        <w:lastRenderedPageBreak/>
        <w:t>hormônios durante o processo</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inflamatório</w:t>
      </w:r>
      <w:r w:rsidR="001D0964" w:rsidRPr="00DE6D90">
        <w:rPr>
          <w:rFonts w:ascii="Times New Roman" w:hAnsi="Times New Roman" w:cs="Times New Roman"/>
          <w:sz w:val="24"/>
          <w:szCs w:val="24"/>
        </w:rPr>
        <w:t xml:space="preserve"> </w:t>
      </w:r>
      <w:r w:rsidRPr="00EC3B37">
        <w:rPr>
          <w:rFonts w:ascii="Times New Roman" w:hAnsi="Times New Roman" w:cs="Times New Roman"/>
          <w:bCs/>
          <w:sz w:val="24"/>
          <w:szCs w:val="24"/>
        </w:rPr>
        <w:t>(LOPES et.al 2010)</w:t>
      </w:r>
      <w:r w:rsidRPr="00EC3B37">
        <w:rPr>
          <w:rFonts w:ascii="Times New Roman" w:hAnsi="Times New Roman" w:cs="Times New Roman"/>
          <w:sz w:val="24"/>
          <w:szCs w:val="24"/>
        </w:rPr>
        <w:t>.</w:t>
      </w:r>
      <w:r w:rsidRPr="00DE6D90">
        <w:rPr>
          <w:rFonts w:ascii="Times New Roman" w:hAnsi="Times New Roman" w:cs="Times New Roman"/>
          <w:sz w:val="24"/>
          <w:szCs w:val="24"/>
        </w:rPr>
        <w:t xml:space="preserve"> Da mesma forma, explica-se que a ação hormonal sobre o metabolismo do colágeno do disco articular e sobre a fisiologia dos músculos esqueléticos humanos ocorra por ambos conterem receptores para alfa e beta estrogênio</w:t>
      </w:r>
      <w:r w:rsidR="001D0964" w:rsidRPr="00DE6D90">
        <w:rPr>
          <w:rFonts w:ascii="Times New Roman" w:hAnsi="Times New Roman" w:cs="Times New Roman"/>
          <w:sz w:val="24"/>
          <w:szCs w:val="24"/>
        </w:rPr>
        <w:t xml:space="preserve"> </w:t>
      </w:r>
      <w:r w:rsidRPr="00B819BB">
        <w:rPr>
          <w:rFonts w:ascii="Times New Roman" w:hAnsi="Times New Roman" w:cs="Times New Roman"/>
          <w:bCs/>
          <w:sz w:val="24"/>
          <w:szCs w:val="24"/>
        </w:rPr>
        <w:t>(OLIVEIRA et.al 2012)</w:t>
      </w:r>
      <w:r w:rsidRPr="00B819BB">
        <w:rPr>
          <w:rFonts w:ascii="Times New Roman" w:hAnsi="Times New Roman" w:cs="Times New Roman"/>
          <w:sz w:val="24"/>
          <w:szCs w:val="24"/>
        </w:rPr>
        <w:t>.</w:t>
      </w: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Ainda assim, a história natural da DTM e sua gravidade parecem ser influenciadas pela continuidade do processo inflamatório, mediado pelos níveis alterados dos hormônios nas pacientes com SOP. Entretanto, a média de idade encontrada neste estudo foi baixa (24,1anos), o que justificaria a maior prevalência de DTM muscular. Acredita-se que uma população de mulheres com a SOP em idades mais avançadas apresentaria uma maior prevalência de doenças </w:t>
      </w:r>
      <w:proofErr w:type="spellStart"/>
      <w:r w:rsidRPr="00DE6D90">
        <w:rPr>
          <w:rFonts w:ascii="Times New Roman" w:hAnsi="Times New Roman" w:cs="Times New Roman"/>
          <w:sz w:val="24"/>
          <w:szCs w:val="24"/>
        </w:rPr>
        <w:t>osteodegenerati</w:t>
      </w:r>
      <w:r w:rsidR="001D0964" w:rsidRPr="00DE6D90">
        <w:rPr>
          <w:rFonts w:ascii="Times New Roman" w:hAnsi="Times New Roman" w:cs="Times New Roman"/>
          <w:sz w:val="24"/>
          <w:szCs w:val="24"/>
        </w:rPr>
        <w:t>v</w:t>
      </w:r>
      <w:r w:rsidRPr="00DE6D90">
        <w:rPr>
          <w:rFonts w:ascii="Times New Roman" w:hAnsi="Times New Roman" w:cs="Times New Roman"/>
          <w:sz w:val="24"/>
          <w:szCs w:val="24"/>
        </w:rPr>
        <w:t>as</w:t>
      </w:r>
      <w:proofErr w:type="spellEnd"/>
      <w:r w:rsidRPr="00DE6D90">
        <w:rPr>
          <w:rFonts w:ascii="Times New Roman" w:hAnsi="Times New Roman" w:cs="Times New Roman"/>
          <w:sz w:val="24"/>
          <w:szCs w:val="24"/>
        </w:rPr>
        <w:t xml:space="preserve">, incluindo DTM dos subgrupos II e III. </w:t>
      </w: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Em relação à presença e severidade da dor orofacial, em nosso estudo, 80,9% das voluntárias com SOP e DTM, possuíram dor crônica. Embora os mecanismos e dinâmicas pelos quais os hormônios ovarianos modulam a dor permanecem obscuros, os mesmos exercem um papel fundamental em pontos chave ao longo do caminho da dor, incluindo: 1) fibras nervosas aferentes primárias onde podem modular a transdução de sinal e a transmissão da </w:t>
      </w:r>
      <w:proofErr w:type="spellStart"/>
      <w:r w:rsidRPr="00DE6D90">
        <w:rPr>
          <w:rFonts w:ascii="Times New Roman" w:hAnsi="Times New Roman" w:cs="Times New Roman"/>
          <w:sz w:val="24"/>
          <w:szCs w:val="24"/>
        </w:rPr>
        <w:t>nocicepção</w:t>
      </w:r>
      <w:proofErr w:type="spellEnd"/>
      <w:r w:rsidR="001D0964" w:rsidRPr="00DE6D90">
        <w:rPr>
          <w:rFonts w:ascii="Times New Roman" w:hAnsi="Times New Roman" w:cs="Times New Roman"/>
          <w:sz w:val="24"/>
          <w:szCs w:val="24"/>
        </w:rPr>
        <w:t xml:space="preserve"> </w:t>
      </w:r>
      <w:r w:rsidR="00E311E9" w:rsidRPr="00E311E9">
        <w:rPr>
          <w:rFonts w:ascii="Times New Roman" w:hAnsi="Times New Roman" w:cs="Times New Roman"/>
          <w:bCs/>
          <w:sz w:val="24"/>
          <w:szCs w:val="24"/>
        </w:rPr>
        <w:t xml:space="preserve">(ALOISI, 2003; HASSAN; </w:t>
      </w:r>
      <w:r w:rsidR="00E311E9" w:rsidRPr="00E311E9">
        <w:rPr>
          <w:rFonts w:ascii="Times New Roman" w:hAnsi="Times New Roman" w:cs="Times New Roman"/>
          <w:sz w:val="24"/>
          <w:szCs w:val="24"/>
          <w:lang w:val="en-US"/>
        </w:rPr>
        <w:t xml:space="preserve">MUERE; EINSTEIN, </w:t>
      </w:r>
      <w:r w:rsidRPr="00E311E9">
        <w:rPr>
          <w:rFonts w:ascii="Times New Roman" w:hAnsi="Times New Roman" w:cs="Times New Roman"/>
          <w:bCs/>
          <w:sz w:val="24"/>
          <w:szCs w:val="24"/>
        </w:rPr>
        <w:t>2014)</w:t>
      </w:r>
      <w:r w:rsidRPr="00DE6D90">
        <w:rPr>
          <w:rFonts w:ascii="Times New Roman" w:hAnsi="Times New Roman" w:cs="Times New Roman"/>
          <w:sz w:val="24"/>
          <w:szCs w:val="24"/>
        </w:rPr>
        <w:t>; 2) a medula espinal, onde a densidade de receptores de estrogénio sofrem alterações com mudanças</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na concentração do hormônio ao longo do ciclo menstrual</w:t>
      </w:r>
      <w:r w:rsidR="001D0964" w:rsidRPr="00DE6D90">
        <w:rPr>
          <w:rFonts w:ascii="Times New Roman" w:hAnsi="Times New Roman" w:cs="Times New Roman"/>
          <w:sz w:val="24"/>
          <w:szCs w:val="24"/>
        </w:rPr>
        <w:t xml:space="preserve"> </w:t>
      </w:r>
      <w:r w:rsidR="00E311E9" w:rsidRPr="00E311E9">
        <w:rPr>
          <w:rFonts w:ascii="Times New Roman" w:hAnsi="Times New Roman" w:cs="Times New Roman"/>
          <w:bCs/>
          <w:sz w:val="24"/>
          <w:szCs w:val="24"/>
        </w:rPr>
        <w:t>(AMANDUSSON;</w:t>
      </w:r>
      <w:r w:rsidR="00E311E9">
        <w:rPr>
          <w:rFonts w:ascii="Times New Roman" w:hAnsi="Times New Roman" w:cs="Times New Roman"/>
          <w:b/>
          <w:bCs/>
          <w:sz w:val="24"/>
          <w:szCs w:val="24"/>
        </w:rPr>
        <w:t xml:space="preserve"> </w:t>
      </w:r>
      <w:r w:rsidR="00E311E9" w:rsidRPr="00DE6D90">
        <w:rPr>
          <w:rFonts w:ascii="Times New Roman" w:hAnsi="Times New Roman" w:cs="Times New Roman"/>
          <w:sz w:val="24"/>
          <w:szCs w:val="24"/>
          <w:lang w:val="en-US"/>
        </w:rPr>
        <w:t>BLOMQVIST</w:t>
      </w:r>
      <w:r w:rsidR="00E311E9">
        <w:rPr>
          <w:rFonts w:ascii="Times New Roman" w:hAnsi="Times New Roman" w:cs="Times New Roman"/>
          <w:sz w:val="24"/>
          <w:szCs w:val="24"/>
          <w:lang w:val="en-US"/>
        </w:rPr>
        <w:t>,</w:t>
      </w:r>
      <w:r w:rsidRPr="00DE6D90">
        <w:rPr>
          <w:rFonts w:ascii="Times New Roman" w:hAnsi="Times New Roman" w:cs="Times New Roman"/>
          <w:b/>
          <w:bCs/>
          <w:sz w:val="24"/>
          <w:szCs w:val="24"/>
        </w:rPr>
        <w:t xml:space="preserve"> </w:t>
      </w:r>
      <w:r w:rsidRPr="00E311E9">
        <w:rPr>
          <w:rFonts w:ascii="Times New Roman" w:hAnsi="Times New Roman" w:cs="Times New Roman"/>
          <w:bCs/>
          <w:sz w:val="24"/>
          <w:szCs w:val="24"/>
        </w:rPr>
        <w:t>2001;</w:t>
      </w:r>
      <w:r w:rsidR="00E311E9" w:rsidRPr="00E311E9">
        <w:rPr>
          <w:rFonts w:ascii="Times New Roman" w:hAnsi="Times New Roman" w:cs="Times New Roman"/>
          <w:bCs/>
          <w:sz w:val="24"/>
          <w:szCs w:val="24"/>
        </w:rPr>
        <w:t xml:space="preserve"> HASSAN; </w:t>
      </w:r>
      <w:r w:rsidR="00E311E9" w:rsidRPr="00E311E9">
        <w:rPr>
          <w:rFonts w:ascii="Times New Roman" w:hAnsi="Times New Roman" w:cs="Times New Roman"/>
          <w:sz w:val="24"/>
          <w:szCs w:val="24"/>
          <w:lang w:val="en-US"/>
        </w:rPr>
        <w:t xml:space="preserve">MUERE; EINSTEIN, </w:t>
      </w:r>
      <w:r w:rsidR="00E311E9" w:rsidRPr="00E311E9">
        <w:rPr>
          <w:rFonts w:ascii="Times New Roman" w:hAnsi="Times New Roman" w:cs="Times New Roman"/>
          <w:bCs/>
          <w:sz w:val="24"/>
          <w:szCs w:val="24"/>
        </w:rPr>
        <w:t>2014)</w:t>
      </w:r>
      <w:r w:rsidRPr="00DE6D90">
        <w:rPr>
          <w:rFonts w:ascii="Times New Roman" w:hAnsi="Times New Roman" w:cs="Times New Roman"/>
          <w:sz w:val="24"/>
          <w:szCs w:val="24"/>
        </w:rPr>
        <w:t xml:space="preserve">; e 3) o cérebro, onde os receptores de estrogênio são predominantes em regiões que modulam a percepção da dor </w:t>
      </w:r>
      <w:r w:rsidRPr="00A84EFA">
        <w:rPr>
          <w:rFonts w:ascii="Times New Roman" w:hAnsi="Times New Roman" w:cs="Times New Roman"/>
          <w:bCs/>
          <w:sz w:val="24"/>
          <w:szCs w:val="24"/>
        </w:rPr>
        <w:t>(</w:t>
      </w:r>
      <w:r w:rsidR="00A84EFA" w:rsidRPr="00A84EFA">
        <w:rPr>
          <w:rFonts w:ascii="Times New Roman" w:hAnsi="Times New Roman" w:cs="Times New Roman"/>
          <w:bCs/>
          <w:sz w:val="24"/>
          <w:szCs w:val="24"/>
        </w:rPr>
        <w:t>PAPKA</w:t>
      </w:r>
      <w:r w:rsidRPr="00A84EFA">
        <w:rPr>
          <w:rFonts w:ascii="Times New Roman" w:hAnsi="Times New Roman" w:cs="Times New Roman"/>
          <w:bCs/>
          <w:sz w:val="24"/>
          <w:szCs w:val="24"/>
        </w:rPr>
        <w:t xml:space="preserve">, </w:t>
      </w:r>
      <w:r w:rsidR="00A84EFA" w:rsidRPr="00A84EFA">
        <w:rPr>
          <w:rFonts w:ascii="Times New Roman" w:hAnsi="Times New Roman" w:cs="Times New Roman"/>
          <w:bCs/>
          <w:sz w:val="24"/>
          <w:szCs w:val="24"/>
        </w:rPr>
        <w:t xml:space="preserve">et al. </w:t>
      </w:r>
      <w:r w:rsidRPr="00A84EFA">
        <w:rPr>
          <w:rFonts w:ascii="Times New Roman" w:hAnsi="Times New Roman" w:cs="Times New Roman"/>
          <w:bCs/>
          <w:sz w:val="24"/>
          <w:szCs w:val="24"/>
        </w:rPr>
        <w:t xml:space="preserve">1997; </w:t>
      </w:r>
      <w:r w:rsidR="00A84EFA" w:rsidRPr="00A84EFA">
        <w:rPr>
          <w:rFonts w:ascii="Times New Roman" w:hAnsi="Times New Roman" w:cs="Times New Roman"/>
          <w:bCs/>
          <w:sz w:val="24"/>
          <w:szCs w:val="24"/>
        </w:rPr>
        <w:t>HASSAN</w:t>
      </w:r>
      <w:r w:rsidR="00A84EFA" w:rsidRPr="00E311E9">
        <w:rPr>
          <w:rFonts w:ascii="Times New Roman" w:hAnsi="Times New Roman" w:cs="Times New Roman"/>
          <w:bCs/>
          <w:sz w:val="24"/>
          <w:szCs w:val="24"/>
        </w:rPr>
        <w:t xml:space="preserve">; </w:t>
      </w:r>
      <w:r w:rsidR="00A84EFA" w:rsidRPr="00E311E9">
        <w:rPr>
          <w:rFonts w:ascii="Times New Roman" w:hAnsi="Times New Roman" w:cs="Times New Roman"/>
          <w:sz w:val="24"/>
          <w:szCs w:val="24"/>
          <w:lang w:val="en-US"/>
        </w:rPr>
        <w:t xml:space="preserve">MUERE; EINSTEIN, </w:t>
      </w:r>
      <w:r w:rsidR="00A84EFA" w:rsidRPr="00E311E9">
        <w:rPr>
          <w:rFonts w:ascii="Times New Roman" w:hAnsi="Times New Roman" w:cs="Times New Roman"/>
          <w:bCs/>
          <w:sz w:val="24"/>
          <w:szCs w:val="24"/>
        </w:rPr>
        <w:t>2014)</w:t>
      </w:r>
      <w:r w:rsidRPr="00DE6D90">
        <w:rPr>
          <w:rFonts w:ascii="Times New Roman" w:hAnsi="Times New Roman" w:cs="Times New Roman"/>
          <w:b/>
          <w:bCs/>
          <w:sz w:val="24"/>
          <w:szCs w:val="24"/>
        </w:rPr>
        <w:t xml:space="preserve">. </w:t>
      </w:r>
      <w:r w:rsidRPr="00DE6D90">
        <w:rPr>
          <w:rFonts w:ascii="Times New Roman" w:hAnsi="Times New Roman" w:cs="Times New Roman"/>
          <w:sz w:val="24"/>
          <w:szCs w:val="24"/>
        </w:rPr>
        <w:t>Dentre as voluntárias,</w:t>
      </w:r>
      <w:r w:rsidR="00A84EFA">
        <w:rPr>
          <w:rFonts w:ascii="Times New Roman" w:hAnsi="Times New Roman" w:cs="Times New Roman"/>
          <w:sz w:val="24"/>
          <w:szCs w:val="24"/>
        </w:rPr>
        <w:t xml:space="preserve"> </w:t>
      </w:r>
      <w:r w:rsidRPr="00DE6D90">
        <w:rPr>
          <w:rFonts w:ascii="Times New Roman" w:hAnsi="Times New Roman" w:cs="Times New Roman"/>
          <w:sz w:val="24"/>
          <w:szCs w:val="24"/>
        </w:rPr>
        <w:t>38,1% apresentaram baixa incapacidade e baixa intensidade da dor; enquanto</w:t>
      </w:r>
      <w:r w:rsidR="00A84EFA">
        <w:rPr>
          <w:rFonts w:ascii="Times New Roman" w:hAnsi="Times New Roman" w:cs="Times New Roman"/>
          <w:sz w:val="24"/>
          <w:szCs w:val="24"/>
        </w:rPr>
        <w:t xml:space="preserve"> </w:t>
      </w:r>
      <w:r w:rsidRPr="00DE6D90">
        <w:rPr>
          <w:rFonts w:ascii="Times New Roman" w:hAnsi="Times New Roman" w:cs="Times New Roman"/>
          <w:sz w:val="24"/>
          <w:szCs w:val="24"/>
        </w:rPr>
        <w:t xml:space="preserve">25,5% apresentaram alta incapacidade e limitação moderada. Apesar de não existirem estudos </w:t>
      </w:r>
      <w:r w:rsidRPr="00DE6D90">
        <w:rPr>
          <w:rFonts w:ascii="Times New Roman" w:hAnsi="Times New Roman" w:cs="Times New Roman"/>
          <w:sz w:val="24"/>
          <w:szCs w:val="24"/>
        </w:rPr>
        <w:lastRenderedPageBreak/>
        <w:t>avaliando a intensidade e severidade da dor crônica orofacial em mulheres com SOP, acredita-se que a severidade da síndrome, associada à condições avançadas da DTM podem ser influentes na manifestação e padrão da dor</w:t>
      </w:r>
      <w:r w:rsidR="00470625">
        <w:rPr>
          <w:rFonts w:ascii="Times New Roman" w:hAnsi="Times New Roman" w:cs="Times New Roman"/>
          <w:sz w:val="24"/>
          <w:szCs w:val="24"/>
        </w:rPr>
        <w:t xml:space="preserve"> </w:t>
      </w:r>
      <w:r w:rsidR="00470625" w:rsidRPr="004B3189">
        <w:rPr>
          <w:rFonts w:ascii="Times New Roman" w:hAnsi="Times New Roman" w:cs="Times New Roman"/>
          <w:bCs/>
          <w:sz w:val="24"/>
          <w:szCs w:val="24"/>
        </w:rPr>
        <w:t>(SOYDAN et al., 2014)</w:t>
      </w:r>
      <w:r w:rsidRPr="00DE6D90">
        <w:rPr>
          <w:rFonts w:ascii="Times New Roman" w:hAnsi="Times New Roman" w:cs="Times New Roman"/>
          <w:sz w:val="24"/>
          <w:szCs w:val="24"/>
        </w:rPr>
        <w:t xml:space="preserve">. </w:t>
      </w:r>
    </w:p>
    <w:p w:rsidR="00067CDE" w:rsidRPr="00DE6D90" w:rsidRDefault="00067CDE" w:rsidP="00402E82">
      <w:pPr>
        <w:suppressAutoHyphens/>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Além disso, as queixas álgicas são influenciadas por fatores emocionais, como a depressão e sintomas inespecíficos.</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Observando os níveis de sintomas depressivos, 61,9% das mulheres com DTM e SOP apresentaram sintomas moderados ou severos. Em relação àquelas sem DTM, 37,5% também apresentaram sintomas depressivos. Uma vez que a SOP é a causa mais comum de excesso de androgênio em mulheres e a causa mais comum de falha na ovulação, manifestações clínicas como </w:t>
      </w:r>
      <w:proofErr w:type="spellStart"/>
      <w:r w:rsidRPr="00DE6D90">
        <w:rPr>
          <w:rFonts w:ascii="Times New Roman" w:hAnsi="Times New Roman" w:cs="Times New Roman"/>
          <w:sz w:val="24"/>
          <w:szCs w:val="24"/>
        </w:rPr>
        <w:t>hirsutismo</w:t>
      </w:r>
      <w:proofErr w:type="spellEnd"/>
      <w:r w:rsidRPr="00DE6D90">
        <w:rPr>
          <w:rFonts w:ascii="Times New Roman" w:hAnsi="Times New Roman" w:cs="Times New Roman"/>
          <w:sz w:val="24"/>
          <w:szCs w:val="24"/>
        </w:rPr>
        <w:t>, acne, subfertilidade, irregularidade menstrual, obesidade e infertilidade podem estar associadas. Por conseguinte, não é surpreendente que mulheres com a síndrome</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apresentem alterações emocionais e problemas psiquiátricos em um grau maior do que mulheres saudáveis </w:t>
      </w:r>
      <w:r w:rsidR="00A84EFA" w:rsidRPr="00402E82">
        <w:rPr>
          <w:rFonts w:ascii="Times New Roman" w:hAnsi="Times New Roman" w:cs="Times New Roman"/>
          <w:sz w:val="24"/>
          <w:szCs w:val="24"/>
        </w:rPr>
        <w:t>(BARRY; KUCZMIERCZYK; HARDIMAN,</w:t>
      </w:r>
      <w:r w:rsidRPr="00402E82">
        <w:rPr>
          <w:rFonts w:ascii="Times New Roman" w:hAnsi="Times New Roman" w:cs="Times New Roman"/>
          <w:sz w:val="24"/>
          <w:szCs w:val="24"/>
        </w:rPr>
        <w:t xml:space="preserve"> 2011)</w:t>
      </w:r>
      <w:r w:rsidRPr="00DE6D90">
        <w:rPr>
          <w:rFonts w:ascii="Times New Roman" w:hAnsi="Times New Roman" w:cs="Times New Roman"/>
          <w:sz w:val="24"/>
          <w:szCs w:val="24"/>
        </w:rPr>
        <w:t xml:space="preserve">. Adicionalmente, mulheres com alterações </w:t>
      </w:r>
      <w:proofErr w:type="spellStart"/>
      <w:r w:rsidRPr="00DE6D90">
        <w:rPr>
          <w:rFonts w:ascii="Times New Roman" w:hAnsi="Times New Roman" w:cs="Times New Roman"/>
          <w:sz w:val="24"/>
          <w:szCs w:val="24"/>
        </w:rPr>
        <w:t>hiperandrogênicas</w:t>
      </w:r>
      <w:proofErr w:type="spellEnd"/>
      <w:r w:rsidRPr="00DE6D90">
        <w:rPr>
          <w:rFonts w:ascii="Times New Roman" w:hAnsi="Times New Roman" w:cs="Times New Roman"/>
          <w:sz w:val="24"/>
          <w:szCs w:val="24"/>
        </w:rPr>
        <w:t xml:space="preserve"> podem apresentar um risco aumentado de transtornos no humor, devido à associação entre os níveis de andrógenos elevados e depressão</w:t>
      </w:r>
      <w:r w:rsidR="001D0964" w:rsidRPr="00DE6D90">
        <w:rPr>
          <w:rFonts w:ascii="Times New Roman" w:hAnsi="Times New Roman" w:cs="Times New Roman"/>
          <w:sz w:val="24"/>
          <w:szCs w:val="24"/>
        </w:rPr>
        <w:t xml:space="preserve"> </w:t>
      </w:r>
      <w:r w:rsidRPr="00402E82">
        <w:rPr>
          <w:rFonts w:ascii="Times New Roman" w:hAnsi="Times New Roman" w:cs="Times New Roman"/>
          <w:sz w:val="24"/>
          <w:szCs w:val="24"/>
        </w:rPr>
        <w:t>(</w:t>
      </w:r>
      <w:r w:rsidR="00302F2D" w:rsidRPr="00402E82">
        <w:rPr>
          <w:rFonts w:ascii="Times New Roman" w:hAnsi="Times New Roman" w:cs="Times New Roman"/>
          <w:sz w:val="24"/>
          <w:szCs w:val="24"/>
        </w:rPr>
        <w:t>WEBER et al.</w:t>
      </w:r>
      <w:r w:rsidRPr="00402E82">
        <w:rPr>
          <w:rFonts w:ascii="Times New Roman" w:hAnsi="Times New Roman" w:cs="Times New Roman"/>
          <w:sz w:val="24"/>
          <w:szCs w:val="24"/>
        </w:rPr>
        <w:t>, 2000)</w:t>
      </w:r>
      <w:r w:rsidRPr="00DE6D90">
        <w:rPr>
          <w:rFonts w:ascii="Times New Roman" w:hAnsi="Times New Roman" w:cs="Times New Roman"/>
          <w:sz w:val="24"/>
          <w:szCs w:val="24"/>
        </w:rPr>
        <w:t>.</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Em um estudo realizado por </w:t>
      </w:r>
      <w:proofErr w:type="spellStart"/>
      <w:r w:rsidRPr="00402E82">
        <w:rPr>
          <w:rFonts w:ascii="Times New Roman" w:hAnsi="Times New Roman" w:cs="Times New Roman"/>
          <w:sz w:val="24"/>
          <w:szCs w:val="24"/>
        </w:rPr>
        <w:t>Rasgon</w:t>
      </w:r>
      <w:proofErr w:type="spellEnd"/>
      <w:r w:rsidRPr="00402E82">
        <w:rPr>
          <w:rFonts w:ascii="Times New Roman" w:hAnsi="Times New Roman" w:cs="Times New Roman"/>
          <w:sz w:val="24"/>
          <w:szCs w:val="24"/>
        </w:rPr>
        <w:t xml:space="preserve"> </w:t>
      </w:r>
      <w:r w:rsidR="00402E82" w:rsidRPr="00402E82">
        <w:rPr>
          <w:rFonts w:ascii="Times New Roman" w:hAnsi="Times New Roman" w:cs="Times New Roman"/>
          <w:sz w:val="24"/>
          <w:szCs w:val="24"/>
        </w:rPr>
        <w:t>e outros (2003)</w:t>
      </w:r>
      <w:r w:rsidRPr="00DE6D90">
        <w:rPr>
          <w:rFonts w:ascii="Times New Roman" w:hAnsi="Times New Roman" w:cs="Times New Roman"/>
          <w:sz w:val="24"/>
          <w:szCs w:val="24"/>
        </w:rPr>
        <w:t>,</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foi encontrada prevalência de 29% de depressão em mulheres que faziam tratamento para a SOP. Já no estudo de </w:t>
      </w:r>
      <w:proofErr w:type="spellStart"/>
      <w:r w:rsidRPr="00402E82">
        <w:rPr>
          <w:rFonts w:ascii="Times New Roman" w:hAnsi="Times New Roman" w:cs="Times New Roman"/>
          <w:sz w:val="24"/>
          <w:szCs w:val="24"/>
        </w:rPr>
        <w:t>Hollinrake</w:t>
      </w:r>
      <w:proofErr w:type="spellEnd"/>
      <w:r w:rsidRPr="00402E82">
        <w:rPr>
          <w:rFonts w:ascii="Times New Roman" w:hAnsi="Times New Roman" w:cs="Times New Roman"/>
          <w:sz w:val="24"/>
          <w:szCs w:val="24"/>
        </w:rPr>
        <w:t xml:space="preserve"> </w:t>
      </w:r>
      <w:r w:rsidR="00402E82" w:rsidRPr="00402E82">
        <w:rPr>
          <w:rFonts w:ascii="Times New Roman" w:hAnsi="Times New Roman" w:cs="Times New Roman"/>
          <w:sz w:val="24"/>
          <w:szCs w:val="24"/>
        </w:rPr>
        <w:t>e outros (</w:t>
      </w:r>
      <w:r w:rsidRPr="00402E82">
        <w:rPr>
          <w:rFonts w:ascii="Times New Roman" w:hAnsi="Times New Roman" w:cs="Times New Roman"/>
          <w:sz w:val="24"/>
          <w:szCs w:val="24"/>
        </w:rPr>
        <w:t>2007</w:t>
      </w:r>
      <w:r w:rsidR="00402E82" w:rsidRPr="00402E82">
        <w:rPr>
          <w:rFonts w:ascii="Times New Roman" w:hAnsi="Times New Roman" w:cs="Times New Roman"/>
          <w:sz w:val="24"/>
          <w:szCs w:val="24"/>
        </w:rPr>
        <w:t xml:space="preserve">) </w:t>
      </w:r>
      <w:r w:rsidRPr="00DE6D90">
        <w:rPr>
          <w:rFonts w:ascii="Times New Roman" w:hAnsi="Times New Roman" w:cs="Times New Roman"/>
          <w:sz w:val="24"/>
          <w:szCs w:val="24"/>
        </w:rPr>
        <w:t xml:space="preserve">a prevalência encontrada foi de 21%. Como citado anteriormente, no grupo de mulheres com DTM e SOP, a prevalência de sintomas depressivos quando comparados com outros estudos, encontra-se aumentada. Já no grupo de voluntárias sem DTM, este valor torna-se aproximado ao de outros estudos. </w:t>
      </w:r>
    </w:p>
    <w:p w:rsidR="00067CDE" w:rsidRPr="00DE6D90"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Como sabido, a</w:t>
      </w:r>
      <w:r w:rsidR="001D0964" w:rsidRPr="00DE6D90">
        <w:rPr>
          <w:rFonts w:ascii="Times New Roman" w:hAnsi="Times New Roman" w:cs="Times New Roman"/>
          <w:sz w:val="24"/>
          <w:szCs w:val="24"/>
        </w:rPr>
        <w:t xml:space="preserve"> </w:t>
      </w:r>
      <w:r w:rsidRPr="00DE6D90">
        <w:rPr>
          <w:rFonts w:ascii="Times New Roman" w:hAnsi="Times New Roman" w:cs="Times New Roman"/>
          <w:sz w:val="24"/>
          <w:szCs w:val="24"/>
        </w:rPr>
        <w:t xml:space="preserve">depressão crônica pode preceder e predispor o desenvolvimento de queixas dolorosas, assim como as patologias dolorosas crônicas favorecem o desenvolvimento da </w:t>
      </w:r>
      <w:r w:rsidRPr="00F429FC">
        <w:rPr>
          <w:rFonts w:ascii="Times New Roman" w:hAnsi="Times New Roman" w:cs="Times New Roman"/>
          <w:sz w:val="24"/>
          <w:szCs w:val="24"/>
        </w:rPr>
        <w:t>depressão (</w:t>
      </w:r>
      <w:r w:rsidRPr="00F429FC">
        <w:rPr>
          <w:rFonts w:ascii="Times New Roman" w:hAnsi="Times New Roman" w:cs="Times New Roman"/>
          <w:bCs/>
          <w:sz w:val="24"/>
          <w:szCs w:val="24"/>
        </w:rPr>
        <w:t>CORREA et al., 2013).</w:t>
      </w:r>
      <w:r w:rsidRPr="00DE6D90">
        <w:rPr>
          <w:rFonts w:ascii="Times New Roman" w:hAnsi="Times New Roman" w:cs="Times New Roman"/>
          <w:b/>
          <w:bCs/>
          <w:sz w:val="24"/>
          <w:szCs w:val="24"/>
        </w:rPr>
        <w:t xml:space="preserve"> </w:t>
      </w:r>
      <w:r w:rsidRPr="00DE6D90">
        <w:rPr>
          <w:rFonts w:ascii="Times New Roman" w:hAnsi="Times New Roman" w:cs="Times New Roman"/>
          <w:bCs/>
          <w:sz w:val="24"/>
          <w:szCs w:val="24"/>
        </w:rPr>
        <w:t>S</w:t>
      </w:r>
      <w:r w:rsidRPr="00DE6D90">
        <w:rPr>
          <w:rFonts w:ascii="Times New Roman" w:hAnsi="Times New Roman" w:cs="Times New Roman"/>
          <w:sz w:val="24"/>
          <w:szCs w:val="24"/>
        </w:rPr>
        <w:t xml:space="preserve">ugere-se que mulheres com SOP </w:t>
      </w:r>
      <w:r w:rsidRPr="00DE6D90">
        <w:rPr>
          <w:rFonts w:ascii="Times New Roman" w:hAnsi="Times New Roman" w:cs="Times New Roman"/>
          <w:sz w:val="24"/>
          <w:szCs w:val="24"/>
        </w:rPr>
        <w:lastRenderedPageBreak/>
        <w:t xml:space="preserve">e DTM apresentem maiores chances de </w:t>
      </w:r>
      <w:proofErr w:type="spellStart"/>
      <w:r w:rsidRPr="00DE6D90">
        <w:rPr>
          <w:rFonts w:ascii="Times New Roman" w:hAnsi="Times New Roman" w:cs="Times New Roman"/>
          <w:sz w:val="24"/>
          <w:szCs w:val="24"/>
        </w:rPr>
        <w:t>cronificação</w:t>
      </w:r>
      <w:proofErr w:type="spellEnd"/>
      <w:r w:rsidRPr="00DE6D90">
        <w:rPr>
          <w:rFonts w:ascii="Times New Roman" w:hAnsi="Times New Roman" w:cs="Times New Roman"/>
          <w:sz w:val="24"/>
          <w:szCs w:val="24"/>
        </w:rPr>
        <w:t xml:space="preserve"> da dor e desenvolvimento de sintomas depressivos, levando à formação de um ciclo.</w:t>
      </w:r>
    </w:p>
    <w:p w:rsidR="00067CDE" w:rsidRPr="00DE6D90" w:rsidRDefault="00067CDE" w:rsidP="00402E82">
      <w:pPr>
        <w:suppressAutoHyphens/>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 xml:space="preserve">Por conseguinte, indivíduos com dores crônicas frequentemente relatam uma variedade de sintomas físicos além da sua queixa principal de dor. Avaliando 210 adultos com dores crônicas, </w:t>
      </w:r>
      <w:proofErr w:type="spellStart"/>
      <w:r w:rsidRPr="00991F84">
        <w:rPr>
          <w:rFonts w:ascii="Times New Roman" w:hAnsi="Times New Roman" w:cs="Times New Roman"/>
          <w:bCs/>
          <w:sz w:val="24"/>
          <w:szCs w:val="24"/>
        </w:rPr>
        <w:t>McCracken</w:t>
      </w:r>
      <w:proofErr w:type="spellEnd"/>
      <w:r w:rsidRPr="00991F84">
        <w:rPr>
          <w:rFonts w:ascii="Times New Roman" w:hAnsi="Times New Roman" w:cs="Times New Roman"/>
          <w:bCs/>
          <w:sz w:val="24"/>
          <w:szCs w:val="24"/>
        </w:rPr>
        <w:t xml:space="preserve"> </w:t>
      </w:r>
      <w:r w:rsidR="00402E82">
        <w:rPr>
          <w:rFonts w:ascii="Times New Roman" w:hAnsi="Times New Roman" w:cs="Times New Roman"/>
          <w:bCs/>
          <w:sz w:val="24"/>
          <w:szCs w:val="24"/>
        </w:rPr>
        <w:t>e outros</w:t>
      </w:r>
      <w:r w:rsidRPr="00991F84">
        <w:rPr>
          <w:rFonts w:ascii="Times New Roman" w:hAnsi="Times New Roman" w:cs="Times New Roman"/>
          <w:bCs/>
          <w:sz w:val="24"/>
          <w:szCs w:val="24"/>
        </w:rPr>
        <w:t xml:space="preserve"> </w:t>
      </w:r>
      <w:r w:rsidR="00402E82">
        <w:rPr>
          <w:rFonts w:ascii="Times New Roman" w:hAnsi="Times New Roman" w:cs="Times New Roman"/>
          <w:bCs/>
          <w:sz w:val="24"/>
          <w:szCs w:val="24"/>
        </w:rPr>
        <w:t>(</w:t>
      </w:r>
      <w:r w:rsidRPr="00991F84">
        <w:rPr>
          <w:rFonts w:ascii="Times New Roman" w:hAnsi="Times New Roman" w:cs="Times New Roman"/>
          <w:bCs/>
          <w:sz w:val="24"/>
          <w:szCs w:val="24"/>
        </w:rPr>
        <w:t>1998</w:t>
      </w:r>
      <w:r w:rsidR="00402E82">
        <w:rPr>
          <w:rFonts w:ascii="Times New Roman" w:hAnsi="Times New Roman" w:cs="Times New Roman"/>
          <w:bCs/>
          <w:sz w:val="24"/>
          <w:szCs w:val="24"/>
        </w:rPr>
        <w:t>)</w:t>
      </w:r>
      <w:r w:rsidRPr="00991F84">
        <w:rPr>
          <w:rFonts w:ascii="Times New Roman" w:hAnsi="Times New Roman" w:cs="Times New Roman"/>
          <w:sz w:val="24"/>
          <w:szCs w:val="24"/>
        </w:rPr>
        <w:t xml:space="preserve"> demonstraram</w:t>
      </w:r>
      <w:r w:rsidRPr="00DE6D90">
        <w:rPr>
          <w:rFonts w:ascii="Times New Roman" w:hAnsi="Times New Roman" w:cs="Times New Roman"/>
          <w:sz w:val="24"/>
          <w:szCs w:val="24"/>
        </w:rPr>
        <w:t xml:space="preserve"> que as queixas físicas são comuns em pessoas com este tipo de dor. Análises correlacionais mostraram que uma maior comunicação de queixas físicas foi associada com relatos de maior intensidade de dor, níveis elevados de depressão, medo, ansiedade e incapacidade físico e psicossocial.</w:t>
      </w:r>
      <w:r w:rsidR="00A70206" w:rsidRPr="00DE6D90">
        <w:rPr>
          <w:rFonts w:ascii="Times New Roman" w:hAnsi="Times New Roman" w:cs="Times New Roman"/>
          <w:sz w:val="24"/>
          <w:szCs w:val="24"/>
        </w:rPr>
        <w:t xml:space="preserve"> </w:t>
      </w:r>
      <w:r w:rsidRPr="00DE6D90">
        <w:rPr>
          <w:rFonts w:ascii="Times New Roman" w:hAnsi="Times New Roman" w:cs="Times New Roman"/>
          <w:sz w:val="24"/>
          <w:szCs w:val="24"/>
        </w:rPr>
        <w:t>No presente estudo, das voluntárias com DTM, 66,7% apresentaram sintomas físicos não específicos incluindo dor, e 37,4% daquelas que não possuíam a desordem, apresentaram tais sintomas. Em relação aos sintomas físicos não específicos</w:t>
      </w:r>
      <w:r w:rsidR="00A70206" w:rsidRPr="00DE6D90">
        <w:rPr>
          <w:rFonts w:ascii="Times New Roman" w:hAnsi="Times New Roman" w:cs="Times New Roman"/>
          <w:sz w:val="24"/>
          <w:szCs w:val="24"/>
        </w:rPr>
        <w:t xml:space="preserve"> </w:t>
      </w:r>
      <w:r w:rsidRPr="00DE6D90">
        <w:rPr>
          <w:rFonts w:ascii="Times New Roman" w:hAnsi="Times New Roman" w:cs="Times New Roman"/>
          <w:sz w:val="24"/>
          <w:szCs w:val="24"/>
        </w:rPr>
        <w:t>excluindo dor</w:t>
      </w:r>
      <w:r w:rsidR="00620EF4" w:rsidRPr="00DE6D90">
        <w:rPr>
          <w:rFonts w:ascii="Times New Roman" w:hAnsi="Times New Roman" w:cs="Times New Roman"/>
          <w:sz w:val="24"/>
          <w:szCs w:val="24"/>
        </w:rPr>
        <w:t xml:space="preserve"> (engloba os sintomas somáticos)</w:t>
      </w:r>
      <w:r w:rsidRPr="00DE6D90">
        <w:rPr>
          <w:rFonts w:ascii="Times New Roman" w:hAnsi="Times New Roman" w:cs="Times New Roman"/>
          <w:sz w:val="24"/>
          <w:szCs w:val="24"/>
        </w:rPr>
        <w:t xml:space="preserve">, os resultados encontrados foram respectivamente de 46,1% e 18,8%. Com isso, ressalta-se mais uma vez a influência dos hormônios reprodutivos femininos em mulheres com SOP </w:t>
      </w:r>
      <w:r w:rsidRPr="00302F2D">
        <w:rPr>
          <w:rFonts w:ascii="Times New Roman" w:hAnsi="Times New Roman" w:cs="Times New Roman"/>
          <w:bCs/>
          <w:sz w:val="24"/>
          <w:szCs w:val="24"/>
        </w:rPr>
        <w:t>(CHALKOO</w:t>
      </w:r>
      <w:r w:rsidR="00302F2D" w:rsidRPr="00302F2D">
        <w:rPr>
          <w:rFonts w:ascii="Times New Roman" w:hAnsi="Times New Roman" w:cs="Times New Roman"/>
          <w:bCs/>
          <w:sz w:val="24"/>
          <w:szCs w:val="24"/>
        </w:rPr>
        <w:t xml:space="preserve"> et al.</w:t>
      </w:r>
      <w:r w:rsidRPr="00302F2D">
        <w:rPr>
          <w:rFonts w:ascii="Times New Roman" w:hAnsi="Times New Roman" w:cs="Times New Roman"/>
          <w:bCs/>
          <w:sz w:val="24"/>
          <w:szCs w:val="24"/>
        </w:rPr>
        <w:t>, 2014)</w:t>
      </w:r>
      <w:r w:rsidR="00C15B36" w:rsidRPr="00DE6D90">
        <w:rPr>
          <w:rFonts w:ascii="Times New Roman" w:hAnsi="Times New Roman" w:cs="Times New Roman"/>
          <w:b/>
          <w:bCs/>
          <w:sz w:val="24"/>
          <w:szCs w:val="24"/>
        </w:rPr>
        <w:t xml:space="preserve"> </w:t>
      </w:r>
      <w:r w:rsidRPr="00DE6D90">
        <w:rPr>
          <w:rFonts w:ascii="Times New Roman" w:hAnsi="Times New Roman" w:cs="Times New Roman"/>
          <w:sz w:val="24"/>
          <w:szCs w:val="24"/>
        </w:rPr>
        <w:t xml:space="preserve">no processamento da dor, assim como no desenvolvimento de patologias associadas. </w:t>
      </w:r>
    </w:p>
    <w:p w:rsidR="00067CDE" w:rsidRPr="00DE6D90" w:rsidRDefault="00067CDE" w:rsidP="00DE6D90">
      <w:pPr>
        <w:spacing w:line="480" w:lineRule="auto"/>
        <w:ind w:firstLine="708"/>
        <w:jc w:val="both"/>
        <w:rPr>
          <w:rFonts w:ascii="Times New Roman" w:hAnsi="Times New Roman" w:cs="Times New Roman"/>
          <w:sz w:val="24"/>
          <w:szCs w:val="24"/>
        </w:rPr>
      </w:pPr>
    </w:p>
    <w:p w:rsidR="00B56B46" w:rsidRPr="00D456BB" w:rsidRDefault="00402E82" w:rsidP="00B56B46">
      <w:pPr>
        <w:tabs>
          <w:tab w:val="left" w:pos="900"/>
        </w:tabs>
        <w:suppressAutoHyphens/>
        <w:jc w:val="both"/>
        <w:rPr>
          <w:color w:val="000000"/>
        </w:rPr>
      </w:pPr>
      <w:r w:rsidRPr="00402E82">
        <w:rPr>
          <w:rFonts w:ascii="Times New Roman" w:hAnsi="Times New Roman" w:cs="Times New Roman"/>
          <w:bCs/>
        </w:rPr>
        <w:t>5</w:t>
      </w:r>
      <w:r>
        <w:rPr>
          <w:rFonts w:ascii="Times New Roman" w:hAnsi="Times New Roman" w:cs="Times New Roman"/>
          <w:b/>
          <w:bCs/>
        </w:rPr>
        <w:t xml:space="preserve"> </w:t>
      </w:r>
      <w:r w:rsidR="00067CDE" w:rsidRPr="00DE6D90">
        <w:rPr>
          <w:rFonts w:ascii="Times New Roman" w:hAnsi="Times New Roman" w:cs="Times New Roman"/>
          <w:b/>
          <w:bCs/>
        </w:rPr>
        <w:t>CONCLUSÃO</w:t>
      </w:r>
      <w:r w:rsidR="00B56B46">
        <w:rPr>
          <w:rFonts w:ascii="Times New Roman" w:hAnsi="Times New Roman" w:cs="Times New Roman"/>
          <w:b/>
          <w:bCs/>
        </w:rPr>
        <w:t xml:space="preserve"> </w:t>
      </w:r>
    </w:p>
    <w:p w:rsidR="00067CDE" w:rsidRPr="00DE6D90" w:rsidRDefault="00067CDE" w:rsidP="00DE6D90">
      <w:pPr>
        <w:pStyle w:val="Ttulo2"/>
        <w:spacing w:line="480" w:lineRule="auto"/>
        <w:rPr>
          <w:rFonts w:ascii="Times New Roman" w:hAnsi="Times New Roman" w:cs="Times New Roman"/>
          <w:b/>
          <w:bCs/>
        </w:rPr>
      </w:pPr>
    </w:p>
    <w:p w:rsidR="00067CDE" w:rsidRPr="00DE6D90" w:rsidRDefault="00067CDE" w:rsidP="00A54864">
      <w:pPr>
        <w:spacing w:after="0"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A</w:t>
      </w:r>
      <w:r w:rsidR="00C15B36" w:rsidRPr="00DE6D90">
        <w:rPr>
          <w:rFonts w:ascii="Times New Roman" w:hAnsi="Times New Roman" w:cs="Times New Roman"/>
          <w:sz w:val="24"/>
          <w:szCs w:val="24"/>
        </w:rPr>
        <w:t xml:space="preserve"> </w:t>
      </w:r>
      <w:r w:rsidRPr="00DE6D90">
        <w:rPr>
          <w:rFonts w:ascii="Times New Roman" w:hAnsi="Times New Roman" w:cs="Times New Roman"/>
          <w:sz w:val="24"/>
          <w:szCs w:val="24"/>
        </w:rPr>
        <w:t>prevalência de DTM</w:t>
      </w:r>
      <w:r w:rsidR="00C15B36" w:rsidRPr="00DE6D90">
        <w:rPr>
          <w:rFonts w:ascii="Times New Roman" w:hAnsi="Times New Roman" w:cs="Times New Roman"/>
          <w:sz w:val="24"/>
          <w:szCs w:val="24"/>
        </w:rPr>
        <w:t xml:space="preserve"> </w:t>
      </w:r>
      <w:r w:rsidRPr="00DE6D90">
        <w:rPr>
          <w:rFonts w:ascii="Times New Roman" w:hAnsi="Times New Roman" w:cs="Times New Roman"/>
          <w:sz w:val="24"/>
          <w:szCs w:val="24"/>
        </w:rPr>
        <w:t>em mulheres diagnosticadas com a síndrome do ovário policístico foi de 56,8%;</w:t>
      </w:r>
    </w:p>
    <w:p w:rsidR="00067CDE" w:rsidRPr="00DE6D90" w:rsidRDefault="00067CDE" w:rsidP="00F75719">
      <w:pPr>
        <w:spacing w:after="0"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t>Pacientes jovens (média de idade: 24,1 anos) com SOP e DTM tendem a apresentar DTM muscular, predominantemente;</w:t>
      </w:r>
    </w:p>
    <w:p w:rsidR="00067CDE" w:rsidRDefault="00067CDE" w:rsidP="00DE6D90">
      <w:pPr>
        <w:spacing w:line="480" w:lineRule="auto"/>
        <w:ind w:firstLine="708"/>
        <w:jc w:val="both"/>
        <w:rPr>
          <w:rFonts w:ascii="Times New Roman" w:hAnsi="Times New Roman" w:cs="Times New Roman"/>
          <w:sz w:val="24"/>
          <w:szCs w:val="24"/>
        </w:rPr>
      </w:pPr>
      <w:r w:rsidRPr="00DE6D90">
        <w:rPr>
          <w:rFonts w:ascii="Times New Roman" w:hAnsi="Times New Roman" w:cs="Times New Roman"/>
          <w:sz w:val="24"/>
          <w:szCs w:val="24"/>
        </w:rPr>
        <w:lastRenderedPageBreak/>
        <w:t xml:space="preserve">Pacientes com SOP e DTM apresentam maiores chances de </w:t>
      </w:r>
      <w:proofErr w:type="spellStart"/>
      <w:r w:rsidRPr="00DE6D90">
        <w:rPr>
          <w:rFonts w:ascii="Times New Roman" w:hAnsi="Times New Roman" w:cs="Times New Roman"/>
          <w:sz w:val="24"/>
          <w:szCs w:val="24"/>
        </w:rPr>
        <w:t>cronificação</w:t>
      </w:r>
      <w:proofErr w:type="spellEnd"/>
      <w:r w:rsidRPr="00DE6D90">
        <w:rPr>
          <w:rFonts w:ascii="Times New Roman" w:hAnsi="Times New Roman" w:cs="Times New Roman"/>
          <w:sz w:val="24"/>
          <w:szCs w:val="24"/>
        </w:rPr>
        <w:t xml:space="preserve"> da dor pelo elevado índice de sintomas inespecíficos e depressivos, o que implica no comprometimento de fatores psicossociais.</w:t>
      </w:r>
    </w:p>
    <w:p w:rsidR="00361341" w:rsidRDefault="00361341" w:rsidP="00DE6D90">
      <w:pPr>
        <w:spacing w:line="480" w:lineRule="auto"/>
        <w:ind w:firstLine="708"/>
        <w:jc w:val="both"/>
        <w:rPr>
          <w:rFonts w:ascii="Times New Roman" w:hAnsi="Times New Roman" w:cs="Times New Roman"/>
          <w:sz w:val="24"/>
          <w:szCs w:val="24"/>
        </w:rPr>
      </w:pPr>
    </w:p>
    <w:p w:rsidR="00361341" w:rsidRPr="00582231" w:rsidRDefault="00361341" w:rsidP="00B56B46">
      <w:pPr>
        <w:jc w:val="center"/>
        <w:rPr>
          <w:rFonts w:ascii="Times New Roman" w:hAnsi="Times New Roman" w:cs="Times New Roman"/>
          <w:sz w:val="24"/>
          <w:szCs w:val="24"/>
          <w:lang w:val="en-US"/>
        </w:rPr>
      </w:pPr>
      <w:r w:rsidRPr="00582231">
        <w:rPr>
          <w:rFonts w:ascii="Times New Roman" w:hAnsi="Times New Roman" w:cs="Times New Roman"/>
          <w:sz w:val="24"/>
          <w:szCs w:val="24"/>
          <w:lang w:val="en-US"/>
        </w:rPr>
        <w:t xml:space="preserve">Evaluation of association between polycystic ovary syndrome, </w:t>
      </w:r>
      <w:proofErr w:type="spellStart"/>
      <w:r w:rsidRPr="00582231">
        <w:rPr>
          <w:rFonts w:ascii="Times New Roman" w:hAnsi="Times New Roman" w:cs="Times New Roman"/>
          <w:sz w:val="24"/>
          <w:szCs w:val="24"/>
          <w:lang w:val="en-US"/>
        </w:rPr>
        <w:t>temporomandibular</w:t>
      </w:r>
      <w:proofErr w:type="spellEnd"/>
      <w:r w:rsidRPr="00582231">
        <w:rPr>
          <w:rFonts w:ascii="Times New Roman" w:hAnsi="Times New Roman" w:cs="Times New Roman"/>
          <w:sz w:val="24"/>
          <w:szCs w:val="24"/>
          <w:lang w:val="en-US"/>
        </w:rPr>
        <w:t xml:space="preserve"> disorders and psychosocial factors in women</w:t>
      </w:r>
    </w:p>
    <w:p w:rsidR="00402E82" w:rsidRPr="0072588E" w:rsidRDefault="00402E82" w:rsidP="00361341">
      <w:pPr>
        <w:spacing w:line="480" w:lineRule="auto"/>
        <w:rPr>
          <w:rFonts w:ascii="Times New Roman" w:hAnsi="Times New Roman" w:cs="Times New Roman"/>
          <w:b/>
          <w:bCs/>
          <w:sz w:val="24"/>
          <w:szCs w:val="24"/>
          <w:lang w:val="en-US"/>
        </w:rPr>
      </w:pPr>
    </w:p>
    <w:p w:rsidR="00361341" w:rsidRPr="00DE6D90" w:rsidRDefault="00361341" w:rsidP="00361341">
      <w:pPr>
        <w:spacing w:line="480" w:lineRule="auto"/>
        <w:rPr>
          <w:rFonts w:ascii="Times New Roman" w:hAnsi="Times New Roman" w:cs="Times New Roman"/>
          <w:b/>
          <w:bCs/>
          <w:sz w:val="24"/>
          <w:szCs w:val="24"/>
          <w:lang w:val="en-US"/>
        </w:rPr>
      </w:pPr>
      <w:r w:rsidRPr="00DE6D90">
        <w:rPr>
          <w:rFonts w:ascii="Times New Roman" w:hAnsi="Times New Roman" w:cs="Times New Roman"/>
          <w:b/>
          <w:bCs/>
          <w:sz w:val="24"/>
          <w:szCs w:val="24"/>
          <w:lang w:val="en-US"/>
        </w:rPr>
        <w:t>ABSTRACT</w:t>
      </w:r>
    </w:p>
    <w:p w:rsidR="00361341" w:rsidRPr="00402E82" w:rsidRDefault="00361341" w:rsidP="00361341">
      <w:pPr>
        <w:spacing w:line="480" w:lineRule="auto"/>
        <w:jc w:val="both"/>
        <w:rPr>
          <w:rFonts w:ascii="Times New Roman" w:hAnsi="Times New Roman" w:cs="Times New Roman"/>
          <w:iCs/>
          <w:sz w:val="24"/>
          <w:szCs w:val="24"/>
          <w:lang w:val="en-US"/>
        </w:rPr>
      </w:pPr>
      <w:r w:rsidRPr="00DE6D90">
        <w:rPr>
          <w:rFonts w:ascii="Times New Roman" w:hAnsi="Times New Roman" w:cs="Times New Roman"/>
          <w:sz w:val="24"/>
          <w:szCs w:val="24"/>
          <w:lang w:val="en-US"/>
        </w:rPr>
        <w:tab/>
      </w:r>
      <w:r w:rsidR="0079200C" w:rsidRPr="00402E82">
        <w:rPr>
          <w:rFonts w:ascii="Times New Roman" w:hAnsi="Times New Roman" w:cs="Times New Roman"/>
          <w:iCs/>
          <w:sz w:val="24"/>
          <w:szCs w:val="24"/>
          <w:lang w:val="en-US"/>
        </w:rPr>
        <w:t xml:space="preserve">Often local and systemic hormonal changes in women are from the Polycystic Ovarian Syndrome (PCOS) and seem to cause damage to </w:t>
      </w:r>
      <w:proofErr w:type="spellStart"/>
      <w:r w:rsidR="0079200C" w:rsidRPr="00402E82">
        <w:rPr>
          <w:rFonts w:ascii="Times New Roman" w:hAnsi="Times New Roman" w:cs="Times New Roman"/>
          <w:iCs/>
          <w:sz w:val="24"/>
          <w:szCs w:val="24"/>
          <w:lang w:val="en-US"/>
        </w:rPr>
        <w:t>orofacial</w:t>
      </w:r>
      <w:proofErr w:type="spellEnd"/>
      <w:r w:rsidR="0079200C" w:rsidRPr="00402E82">
        <w:rPr>
          <w:rFonts w:ascii="Times New Roman" w:hAnsi="Times New Roman" w:cs="Times New Roman"/>
          <w:iCs/>
          <w:sz w:val="24"/>
          <w:szCs w:val="24"/>
          <w:lang w:val="en-US"/>
        </w:rPr>
        <w:t xml:space="preserve"> structures, including </w:t>
      </w:r>
      <w:proofErr w:type="spellStart"/>
      <w:r w:rsidR="0079200C" w:rsidRPr="00402E82">
        <w:rPr>
          <w:rFonts w:ascii="Times New Roman" w:hAnsi="Times New Roman" w:cs="Times New Roman"/>
          <w:iCs/>
          <w:sz w:val="24"/>
          <w:szCs w:val="24"/>
          <w:lang w:val="en-US"/>
        </w:rPr>
        <w:t>temporomandibular</w:t>
      </w:r>
      <w:proofErr w:type="spellEnd"/>
      <w:r w:rsidR="0079200C" w:rsidRPr="00402E82">
        <w:rPr>
          <w:rFonts w:ascii="Times New Roman" w:hAnsi="Times New Roman" w:cs="Times New Roman"/>
          <w:iCs/>
          <w:sz w:val="24"/>
          <w:szCs w:val="24"/>
          <w:lang w:val="en-US"/>
        </w:rPr>
        <w:t xml:space="preserve"> disorders (TMD) and its psychosocial effects. The aim of this study was to evaluate the prevalence of TMD in women with PCOS, and to evaluate the impact of </w:t>
      </w:r>
      <w:proofErr w:type="spellStart"/>
      <w:r w:rsidR="0079200C" w:rsidRPr="00402E82">
        <w:rPr>
          <w:rFonts w:ascii="Times New Roman" w:hAnsi="Times New Roman" w:cs="Times New Roman"/>
          <w:iCs/>
          <w:sz w:val="24"/>
          <w:szCs w:val="24"/>
          <w:lang w:val="en-US"/>
        </w:rPr>
        <w:t>orofacial</w:t>
      </w:r>
      <w:proofErr w:type="spellEnd"/>
      <w:r w:rsidR="0079200C" w:rsidRPr="00402E82">
        <w:rPr>
          <w:rFonts w:ascii="Times New Roman" w:hAnsi="Times New Roman" w:cs="Times New Roman"/>
          <w:iCs/>
          <w:sz w:val="24"/>
          <w:szCs w:val="24"/>
          <w:lang w:val="en-US"/>
        </w:rPr>
        <w:t xml:space="preserve"> pain in the manifestation of non-specific physical symptoms (both with and without pain) and depression.</w:t>
      </w:r>
      <w:r w:rsidRPr="00402E82">
        <w:rPr>
          <w:rFonts w:ascii="Times New Roman" w:hAnsi="Times New Roman" w:cs="Times New Roman"/>
          <w:iCs/>
          <w:sz w:val="24"/>
          <w:szCs w:val="24"/>
          <w:lang w:val="en-US"/>
        </w:rPr>
        <w:t xml:space="preserve"> For this, we used the Diagnostic Criteria for Research of </w:t>
      </w:r>
      <w:proofErr w:type="spellStart"/>
      <w:r w:rsidRPr="00402E82">
        <w:rPr>
          <w:rFonts w:ascii="Times New Roman" w:hAnsi="Times New Roman" w:cs="Times New Roman"/>
          <w:iCs/>
          <w:sz w:val="24"/>
          <w:szCs w:val="24"/>
          <w:lang w:val="en-US"/>
        </w:rPr>
        <w:t>temporomandibular</w:t>
      </w:r>
      <w:proofErr w:type="spellEnd"/>
      <w:r w:rsidRPr="00402E82">
        <w:rPr>
          <w:rFonts w:ascii="Times New Roman" w:hAnsi="Times New Roman" w:cs="Times New Roman"/>
          <w:iCs/>
          <w:sz w:val="24"/>
          <w:szCs w:val="24"/>
          <w:lang w:val="en-US"/>
        </w:rPr>
        <w:t xml:space="preserve"> disorders (Axis I and II). Analysis and interpretation of data </w:t>
      </w:r>
      <w:proofErr w:type="gramStart"/>
      <w:r w:rsidRPr="00402E82">
        <w:rPr>
          <w:rFonts w:ascii="Times New Roman" w:hAnsi="Times New Roman" w:cs="Times New Roman"/>
          <w:iCs/>
          <w:sz w:val="24"/>
          <w:szCs w:val="24"/>
          <w:lang w:val="en-US"/>
        </w:rPr>
        <w:t>were conducted</w:t>
      </w:r>
      <w:proofErr w:type="gramEnd"/>
      <w:r w:rsidRPr="00402E82">
        <w:rPr>
          <w:rFonts w:ascii="Times New Roman" w:hAnsi="Times New Roman" w:cs="Times New Roman"/>
          <w:iCs/>
          <w:sz w:val="24"/>
          <w:szCs w:val="24"/>
          <w:lang w:val="en-US"/>
        </w:rPr>
        <w:t xml:space="preserve"> using SPSS for Windows 14.0 and organized in table format, and the statistical inference was presented with averages and percentages. Among 37 women with PCOS, 56.8% had TMD, and 16.1% with </w:t>
      </w:r>
      <w:proofErr w:type="spellStart"/>
      <w:r w:rsidRPr="00402E82">
        <w:rPr>
          <w:rFonts w:ascii="Times New Roman" w:hAnsi="Times New Roman" w:cs="Times New Roman"/>
          <w:iCs/>
          <w:sz w:val="24"/>
          <w:szCs w:val="24"/>
          <w:lang w:val="en-US"/>
        </w:rPr>
        <w:t>myofascial</w:t>
      </w:r>
      <w:proofErr w:type="spellEnd"/>
      <w:r w:rsidRPr="00402E82">
        <w:rPr>
          <w:rFonts w:ascii="Times New Roman" w:hAnsi="Times New Roman" w:cs="Times New Roman"/>
          <w:iCs/>
          <w:sz w:val="24"/>
          <w:szCs w:val="24"/>
          <w:lang w:val="en-US"/>
        </w:rPr>
        <w:t xml:space="preserve"> demonstration. Depressive symptoms were present in 28.6% of patients with TMD and SOP at a moderate level and 33.3% in severe level. Nonspecific physical symptoms of severe level were present in 52.4% of women with PCOS and DTM. Hormonal factors related to the SOP and the deep levels of nonspecific symptoms and depression seem to influence the </w:t>
      </w:r>
      <w:proofErr w:type="spellStart"/>
      <w:r w:rsidRPr="00402E82">
        <w:rPr>
          <w:rFonts w:ascii="Times New Roman" w:hAnsi="Times New Roman" w:cs="Times New Roman"/>
          <w:iCs/>
          <w:sz w:val="24"/>
          <w:szCs w:val="24"/>
          <w:lang w:val="en-US"/>
        </w:rPr>
        <w:t>algic</w:t>
      </w:r>
      <w:proofErr w:type="spellEnd"/>
      <w:r w:rsidRPr="00402E82">
        <w:rPr>
          <w:rFonts w:ascii="Times New Roman" w:hAnsi="Times New Roman" w:cs="Times New Roman"/>
          <w:iCs/>
          <w:sz w:val="24"/>
          <w:szCs w:val="24"/>
          <w:lang w:val="en-US"/>
        </w:rPr>
        <w:t xml:space="preserve"> chronicity related to TMD.</w:t>
      </w:r>
    </w:p>
    <w:p w:rsidR="00361341" w:rsidRPr="00DE6D90" w:rsidRDefault="00361341" w:rsidP="00361341">
      <w:pPr>
        <w:spacing w:line="480" w:lineRule="auto"/>
        <w:jc w:val="both"/>
        <w:rPr>
          <w:rFonts w:ascii="Times New Roman" w:hAnsi="Times New Roman" w:cs="Times New Roman"/>
          <w:sz w:val="24"/>
          <w:szCs w:val="24"/>
          <w:lang w:val="en-US"/>
        </w:rPr>
      </w:pPr>
      <w:proofErr w:type="gramStart"/>
      <w:r w:rsidRPr="00DE6D90">
        <w:rPr>
          <w:rFonts w:ascii="Times New Roman" w:hAnsi="Times New Roman" w:cs="Times New Roman"/>
          <w:b/>
          <w:bCs/>
          <w:sz w:val="24"/>
          <w:szCs w:val="24"/>
          <w:lang w:val="en-US"/>
        </w:rPr>
        <w:lastRenderedPageBreak/>
        <w:t>Key-words</w:t>
      </w:r>
      <w:proofErr w:type="gramEnd"/>
      <w:r w:rsidRPr="00DE6D90">
        <w:rPr>
          <w:rFonts w:ascii="Times New Roman" w:hAnsi="Times New Roman" w:cs="Times New Roman"/>
          <w:b/>
          <w:bCs/>
          <w:sz w:val="24"/>
          <w:szCs w:val="24"/>
          <w:lang w:val="en-US"/>
        </w:rPr>
        <w:t xml:space="preserve">: </w:t>
      </w:r>
      <w:proofErr w:type="spellStart"/>
      <w:r w:rsidRPr="00DE6D90">
        <w:rPr>
          <w:rFonts w:ascii="Times New Roman" w:hAnsi="Times New Roman" w:cs="Times New Roman"/>
          <w:sz w:val="24"/>
          <w:szCs w:val="24"/>
          <w:lang w:val="en-US"/>
        </w:rPr>
        <w:t>Temporomandibular</w:t>
      </w:r>
      <w:proofErr w:type="spellEnd"/>
      <w:r w:rsidRPr="00DE6D90">
        <w:rPr>
          <w:rFonts w:ascii="Times New Roman" w:hAnsi="Times New Roman" w:cs="Times New Roman"/>
          <w:sz w:val="24"/>
          <w:szCs w:val="24"/>
          <w:lang w:val="en-US"/>
        </w:rPr>
        <w:t xml:space="preserve"> Joint Disorders</w:t>
      </w:r>
      <w:r>
        <w:rPr>
          <w:rFonts w:ascii="Times New Roman" w:hAnsi="Times New Roman" w:cs="Times New Roman"/>
          <w:sz w:val="24"/>
          <w:szCs w:val="24"/>
          <w:lang w:val="en-US"/>
        </w:rPr>
        <w:t>.</w:t>
      </w:r>
      <w:r w:rsidRPr="00DE6D90">
        <w:rPr>
          <w:rFonts w:ascii="Times New Roman" w:hAnsi="Times New Roman" w:cs="Times New Roman"/>
          <w:sz w:val="24"/>
          <w:szCs w:val="24"/>
          <w:lang w:val="en-US"/>
        </w:rPr>
        <w:t xml:space="preserve"> Polycystic Ovary Syndrome</w:t>
      </w:r>
      <w:r>
        <w:rPr>
          <w:rFonts w:ascii="Times New Roman" w:hAnsi="Times New Roman" w:cs="Times New Roman"/>
          <w:sz w:val="24"/>
          <w:szCs w:val="24"/>
          <w:lang w:val="en-US"/>
        </w:rPr>
        <w:t>.</w:t>
      </w:r>
      <w:r w:rsidRPr="00DE6D90">
        <w:rPr>
          <w:rFonts w:ascii="Times New Roman" w:hAnsi="Times New Roman" w:cs="Times New Roman"/>
          <w:sz w:val="24"/>
          <w:szCs w:val="24"/>
          <w:lang w:val="en-US"/>
        </w:rPr>
        <w:t xml:space="preserve"> Facial Pain</w:t>
      </w:r>
      <w:r>
        <w:rPr>
          <w:rFonts w:ascii="Times New Roman" w:hAnsi="Times New Roman" w:cs="Times New Roman"/>
          <w:sz w:val="24"/>
          <w:szCs w:val="24"/>
          <w:lang w:val="en-US"/>
        </w:rPr>
        <w:t>.</w:t>
      </w:r>
      <w:r w:rsidRPr="00DE6D90">
        <w:rPr>
          <w:rFonts w:ascii="Times New Roman" w:hAnsi="Times New Roman" w:cs="Times New Roman"/>
          <w:sz w:val="24"/>
          <w:szCs w:val="24"/>
          <w:lang w:val="en-US"/>
        </w:rPr>
        <w:t xml:space="preserve"> Inflammation</w:t>
      </w:r>
      <w:r>
        <w:rPr>
          <w:rFonts w:ascii="Times New Roman" w:hAnsi="Times New Roman" w:cs="Times New Roman"/>
          <w:sz w:val="24"/>
          <w:szCs w:val="24"/>
          <w:lang w:val="en-US"/>
        </w:rPr>
        <w:t>.</w:t>
      </w:r>
      <w:r w:rsidRPr="00DE6D90">
        <w:rPr>
          <w:rFonts w:ascii="Times New Roman" w:hAnsi="Times New Roman" w:cs="Times New Roman"/>
          <w:sz w:val="24"/>
          <w:szCs w:val="24"/>
          <w:lang w:val="en-US"/>
        </w:rPr>
        <w:t xml:space="preserve"> Psychosocial Impact.</w:t>
      </w:r>
    </w:p>
    <w:p w:rsidR="00361341" w:rsidRPr="00DE6D90" w:rsidRDefault="00361341" w:rsidP="00DE6D90">
      <w:pPr>
        <w:spacing w:line="480" w:lineRule="auto"/>
        <w:ind w:firstLine="708"/>
        <w:jc w:val="both"/>
        <w:rPr>
          <w:rFonts w:ascii="Times New Roman" w:hAnsi="Times New Roman" w:cs="Times New Roman"/>
          <w:sz w:val="24"/>
          <w:szCs w:val="24"/>
        </w:rPr>
      </w:pPr>
    </w:p>
    <w:p w:rsidR="00067CDE" w:rsidRPr="00DE6D90" w:rsidRDefault="00067CDE" w:rsidP="00DE6D90">
      <w:pPr>
        <w:spacing w:line="480" w:lineRule="auto"/>
        <w:rPr>
          <w:rFonts w:ascii="Times New Roman" w:hAnsi="Times New Roman" w:cs="Times New Roman"/>
          <w:sz w:val="24"/>
          <w:szCs w:val="24"/>
        </w:rPr>
      </w:pPr>
    </w:p>
    <w:p w:rsidR="00067CDE" w:rsidRDefault="00402E82" w:rsidP="00DE6D90">
      <w:pPr>
        <w:pStyle w:val="Ttulo2"/>
        <w:spacing w:line="480" w:lineRule="auto"/>
        <w:rPr>
          <w:rFonts w:ascii="Times New Roman" w:hAnsi="Times New Roman" w:cs="Times New Roman"/>
          <w:b/>
          <w:bCs/>
        </w:rPr>
      </w:pPr>
      <w:r>
        <w:rPr>
          <w:rFonts w:ascii="Times New Roman" w:hAnsi="Times New Roman" w:cs="Times New Roman"/>
          <w:b/>
          <w:bCs/>
        </w:rPr>
        <w:t>REFERÊNCIAS</w:t>
      </w:r>
      <w:r w:rsidR="00B56B46">
        <w:rPr>
          <w:rFonts w:ascii="Times New Roman" w:hAnsi="Times New Roman" w:cs="Times New Roman"/>
          <w:b/>
          <w:bCs/>
        </w:rPr>
        <w:t xml:space="preserve"> </w:t>
      </w:r>
    </w:p>
    <w:p w:rsidR="00B56B46" w:rsidRPr="00D456BB" w:rsidRDefault="00B56B46" w:rsidP="00B56B46">
      <w:pPr>
        <w:tabs>
          <w:tab w:val="left" w:pos="1080"/>
        </w:tabs>
        <w:suppressAutoHyphens/>
        <w:jc w:val="both"/>
        <w:rPr>
          <w:color w:val="000000"/>
        </w:rPr>
      </w:pP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ALOISI, A.M. Gonadal hormones and sex differences in pain reactivity. </w:t>
      </w:r>
      <w:r w:rsidRPr="00402E82">
        <w:rPr>
          <w:rFonts w:ascii="Times New Roman" w:hAnsi="Times New Roman" w:cs="Times New Roman"/>
          <w:b/>
          <w:sz w:val="24"/>
          <w:szCs w:val="24"/>
          <w:lang w:val="en-US"/>
        </w:rPr>
        <w:t>The Clinical journal of pain</w:t>
      </w:r>
      <w:r w:rsidRPr="00402E82">
        <w:rPr>
          <w:rFonts w:ascii="Times New Roman" w:hAnsi="Times New Roman" w:cs="Times New Roman"/>
          <w:sz w:val="24"/>
          <w:szCs w:val="24"/>
          <w:lang w:val="en-US"/>
        </w:rPr>
        <w:t xml:space="preserve">, v.19, n.3, p.168–174, </w:t>
      </w:r>
      <w:r w:rsidR="00665823" w:rsidRPr="00402E82">
        <w:rPr>
          <w:rFonts w:ascii="Times New Roman" w:hAnsi="Times New Roman" w:cs="Times New Roman"/>
          <w:sz w:val="24"/>
          <w:szCs w:val="24"/>
          <w:lang w:val="en-US"/>
        </w:rPr>
        <w:t xml:space="preserve">May-Jun, </w:t>
      </w:r>
      <w:r w:rsidRPr="00402E82">
        <w:rPr>
          <w:rFonts w:ascii="Times New Roman" w:hAnsi="Times New Roman" w:cs="Times New Roman"/>
          <w:sz w:val="24"/>
          <w:szCs w:val="24"/>
          <w:lang w:val="en-US"/>
        </w:rPr>
        <w:t>2003.</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AMANDUSSON, A.; BLOMQVIST, A. Estrogen receptors can regulate pain sensitivity. Possible explanation of certain chronic pain conditions. </w:t>
      </w:r>
      <w:proofErr w:type="spellStart"/>
      <w:r w:rsidRPr="00402E82">
        <w:rPr>
          <w:rFonts w:ascii="Times New Roman" w:hAnsi="Times New Roman" w:cs="Times New Roman"/>
          <w:b/>
          <w:sz w:val="24"/>
          <w:szCs w:val="24"/>
          <w:lang w:val="en-US"/>
        </w:rPr>
        <w:t>Lakartidningen</w:t>
      </w:r>
      <w:proofErr w:type="spellEnd"/>
      <w:r w:rsidRPr="00402E82">
        <w:rPr>
          <w:rFonts w:ascii="Times New Roman" w:hAnsi="Times New Roman" w:cs="Times New Roman"/>
          <w:sz w:val="24"/>
          <w:szCs w:val="24"/>
          <w:lang w:val="en-US"/>
        </w:rPr>
        <w:t>, Stockholm, v.98,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.15, p.1774–1778, </w:t>
      </w:r>
      <w:proofErr w:type="gramStart"/>
      <w:r w:rsidR="0061438B" w:rsidRPr="00402E82">
        <w:rPr>
          <w:rFonts w:ascii="Times New Roman" w:hAnsi="Times New Roman" w:cs="Times New Roman"/>
          <w:sz w:val="24"/>
          <w:szCs w:val="24"/>
          <w:lang w:val="en-US"/>
        </w:rPr>
        <w:t>Apr,</w:t>
      </w:r>
      <w:proofErr w:type="gramEnd"/>
      <w:r w:rsidR="0061438B"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2001.</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BARRY, J. A.; KUCZMIERCZYK, A. R.; HARDIMAN, P. J. Anxiety and depression in polycystic ovary syndrome: a systematic review and meta-analysis. </w:t>
      </w:r>
      <w:r w:rsidRPr="00402E82">
        <w:rPr>
          <w:rFonts w:ascii="Times New Roman" w:hAnsi="Times New Roman" w:cs="Times New Roman"/>
          <w:b/>
          <w:sz w:val="24"/>
          <w:szCs w:val="24"/>
          <w:lang w:val="en-US"/>
        </w:rPr>
        <w:t>Human Reproduction</w:t>
      </w:r>
      <w:r w:rsidRPr="00402E82">
        <w:rPr>
          <w:rFonts w:ascii="Times New Roman" w:hAnsi="Times New Roman" w:cs="Times New Roman"/>
          <w:sz w:val="24"/>
          <w:szCs w:val="24"/>
          <w:lang w:val="en-US"/>
        </w:rPr>
        <w:t>, Oxford, v. 26,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.9, p.2442-2451, </w:t>
      </w:r>
      <w:proofErr w:type="gramStart"/>
      <w:r w:rsidR="00B5670B" w:rsidRPr="00402E82">
        <w:rPr>
          <w:rFonts w:ascii="Times New Roman" w:hAnsi="Times New Roman" w:cs="Times New Roman"/>
          <w:sz w:val="24"/>
          <w:szCs w:val="24"/>
          <w:lang w:val="en-US"/>
        </w:rPr>
        <w:t>Sep,</w:t>
      </w:r>
      <w:proofErr w:type="gramEnd"/>
      <w:r w:rsidR="00B5670B"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2011.</w:t>
      </w:r>
    </w:p>
    <w:p w:rsidR="00067CDE" w:rsidRPr="00402E82" w:rsidRDefault="007671D2"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BENDER,</w:t>
      </w:r>
      <w:r w:rsidR="00067CDE" w:rsidRPr="00402E82">
        <w:rPr>
          <w:rFonts w:ascii="Times New Roman" w:hAnsi="Times New Roman" w:cs="Times New Roman"/>
          <w:sz w:val="24"/>
          <w:szCs w:val="24"/>
          <w:lang w:val="en-US"/>
        </w:rPr>
        <w:t xml:space="preserve"> S</w:t>
      </w:r>
      <w:r w:rsidRPr="00402E82">
        <w:rPr>
          <w:rFonts w:ascii="Times New Roman" w:hAnsi="Times New Roman" w:cs="Times New Roman"/>
          <w:sz w:val="24"/>
          <w:szCs w:val="24"/>
          <w:lang w:val="en-US"/>
        </w:rPr>
        <w:t>.</w:t>
      </w:r>
      <w:r w:rsidR="00067CDE" w:rsidRPr="00402E82">
        <w:rPr>
          <w:rFonts w:ascii="Times New Roman" w:hAnsi="Times New Roman" w:cs="Times New Roman"/>
          <w:sz w:val="24"/>
          <w:szCs w:val="24"/>
          <w:lang w:val="en-US"/>
        </w:rPr>
        <w:t>D</w:t>
      </w:r>
      <w:r w:rsidRPr="00402E82">
        <w:rPr>
          <w:rFonts w:ascii="Times New Roman" w:hAnsi="Times New Roman" w:cs="Times New Roman"/>
          <w:sz w:val="24"/>
          <w:szCs w:val="24"/>
          <w:lang w:val="en-US"/>
        </w:rPr>
        <w:t>.</w:t>
      </w:r>
      <w:r w:rsidR="00067CDE" w:rsidRPr="00402E82">
        <w:rPr>
          <w:rFonts w:ascii="Times New Roman" w:hAnsi="Times New Roman" w:cs="Times New Roman"/>
          <w:sz w:val="24"/>
          <w:szCs w:val="24"/>
          <w:lang w:val="en-US"/>
        </w:rPr>
        <w:t xml:space="preserve"> </w:t>
      </w:r>
      <w:proofErr w:type="spellStart"/>
      <w:r w:rsidR="00067CDE" w:rsidRPr="00402E82">
        <w:rPr>
          <w:rFonts w:ascii="Times New Roman" w:hAnsi="Times New Roman" w:cs="Times New Roman"/>
          <w:sz w:val="24"/>
          <w:szCs w:val="24"/>
          <w:lang w:val="en-US"/>
        </w:rPr>
        <w:t>Orofacial</w:t>
      </w:r>
      <w:proofErr w:type="spellEnd"/>
      <w:r w:rsidR="00067CDE" w:rsidRPr="00402E82">
        <w:rPr>
          <w:rFonts w:ascii="Times New Roman" w:hAnsi="Times New Roman" w:cs="Times New Roman"/>
          <w:sz w:val="24"/>
          <w:szCs w:val="24"/>
          <w:lang w:val="en-US"/>
        </w:rPr>
        <w:t xml:space="preserve"> pain and headache: a review and look at the</w:t>
      </w:r>
      <w:r w:rsidRPr="00402E82">
        <w:rPr>
          <w:rFonts w:ascii="Times New Roman" w:hAnsi="Times New Roman" w:cs="Times New Roman"/>
          <w:sz w:val="24"/>
          <w:szCs w:val="24"/>
          <w:lang w:val="en-US"/>
        </w:rPr>
        <w:t xml:space="preserve"> </w:t>
      </w:r>
      <w:r w:rsidR="00067CDE" w:rsidRPr="00402E82">
        <w:rPr>
          <w:rFonts w:ascii="Times New Roman" w:hAnsi="Times New Roman" w:cs="Times New Roman"/>
          <w:sz w:val="24"/>
          <w:szCs w:val="24"/>
          <w:lang w:val="en-US"/>
        </w:rPr>
        <w:t xml:space="preserve">commonalities. </w:t>
      </w:r>
      <w:r w:rsidRPr="00582231">
        <w:rPr>
          <w:rStyle w:val="apple-converted-space"/>
          <w:rFonts w:ascii="Arial" w:hAnsi="Arial" w:cs="Arial"/>
          <w:color w:val="222222"/>
          <w:sz w:val="20"/>
          <w:szCs w:val="20"/>
          <w:shd w:val="clear" w:color="auto" w:fill="FFFFFF"/>
          <w:lang w:val="en-US"/>
        </w:rPr>
        <w:t> </w:t>
      </w:r>
      <w:r w:rsidRPr="00402E82">
        <w:rPr>
          <w:rFonts w:ascii="Times New Roman" w:hAnsi="Times New Roman" w:cs="Times New Roman"/>
          <w:b/>
          <w:sz w:val="24"/>
          <w:szCs w:val="24"/>
          <w:lang w:val="en-US"/>
        </w:rPr>
        <w:t>Current pain and headache reports</w:t>
      </w:r>
      <w:r w:rsidRPr="00402E82">
        <w:rPr>
          <w:rFonts w:ascii="Times New Roman" w:hAnsi="Times New Roman" w:cs="Times New Roman"/>
          <w:sz w:val="24"/>
          <w:szCs w:val="24"/>
          <w:lang w:val="en-US"/>
        </w:rPr>
        <w:t>, Philadelphia, v.</w:t>
      </w:r>
      <w:r w:rsidR="00067CDE" w:rsidRPr="00402E82">
        <w:rPr>
          <w:rFonts w:ascii="Times New Roman" w:hAnsi="Times New Roman" w:cs="Times New Roman"/>
          <w:sz w:val="24"/>
          <w:szCs w:val="24"/>
          <w:lang w:val="en-US"/>
        </w:rPr>
        <w:t>18</w:t>
      </w:r>
      <w:r w:rsidRPr="00402E82">
        <w:rPr>
          <w:rFonts w:ascii="Times New Roman" w:hAnsi="Times New Roman" w:cs="Times New Roman"/>
          <w:sz w:val="24"/>
          <w:szCs w:val="24"/>
          <w:lang w:val="en-US"/>
        </w:rPr>
        <w:t>,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.3, p.1-6, </w:t>
      </w:r>
      <w:proofErr w:type="gramStart"/>
      <w:r w:rsidR="00B5670B" w:rsidRPr="00402E82">
        <w:rPr>
          <w:rFonts w:ascii="Times New Roman" w:hAnsi="Times New Roman" w:cs="Times New Roman"/>
          <w:sz w:val="24"/>
          <w:szCs w:val="24"/>
          <w:lang w:val="en-US"/>
        </w:rPr>
        <w:t>Mar,</w:t>
      </w:r>
      <w:proofErr w:type="gramEnd"/>
      <w:r w:rsidR="00B5670B" w:rsidRPr="00402E82">
        <w:rPr>
          <w:rFonts w:ascii="Times New Roman" w:hAnsi="Times New Roman" w:cs="Times New Roman"/>
          <w:sz w:val="24"/>
          <w:szCs w:val="24"/>
          <w:lang w:val="en-US"/>
        </w:rPr>
        <w:t xml:space="preserve"> </w:t>
      </w:r>
      <w:r w:rsidR="00067CDE" w:rsidRPr="00402E82">
        <w:rPr>
          <w:rFonts w:ascii="Times New Roman" w:hAnsi="Times New Roman" w:cs="Times New Roman"/>
          <w:sz w:val="24"/>
          <w:szCs w:val="24"/>
          <w:lang w:val="en-US"/>
        </w:rPr>
        <w:t>2014</w:t>
      </w:r>
      <w:r w:rsidRPr="00402E82">
        <w:rPr>
          <w:rFonts w:ascii="Times New Roman" w:hAnsi="Times New Roman" w:cs="Times New Roman"/>
          <w:sz w:val="24"/>
          <w:szCs w:val="24"/>
          <w:lang w:val="en-US"/>
        </w:rPr>
        <w:t xml:space="preserve">. </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BENSON, S. et al. Obesity, depression, and chronic low-grade inflammation in women with polycystic ovary syndrome. </w:t>
      </w:r>
      <w:r w:rsidRPr="00402E82">
        <w:rPr>
          <w:rFonts w:ascii="Times New Roman" w:hAnsi="Times New Roman" w:cs="Times New Roman"/>
          <w:b/>
          <w:sz w:val="24"/>
          <w:szCs w:val="24"/>
          <w:lang w:val="en-US"/>
        </w:rPr>
        <w:t>Brain, behavior, and immunity</w:t>
      </w:r>
      <w:r w:rsidRPr="00402E82">
        <w:rPr>
          <w:rFonts w:ascii="Times New Roman" w:hAnsi="Times New Roman" w:cs="Times New Roman"/>
          <w:sz w:val="24"/>
          <w:szCs w:val="24"/>
          <w:lang w:val="en-US"/>
        </w:rPr>
        <w:t>, San Diego, v. 22,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2, p. 177-184, </w:t>
      </w:r>
      <w:proofErr w:type="gramStart"/>
      <w:r w:rsidR="00B5670B" w:rsidRPr="00402E82">
        <w:rPr>
          <w:rFonts w:ascii="Times New Roman" w:hAnsi="Times New Roman" w:cs="Times New Roman"/>
          <w:sz w:val="24"/>
          <w:szCs w:val="24"/>
          <w:lang w:val="en-US"/>
        </w:rPr>
        <w:t>Feb,</w:t>
      </w:r>
      <w:proofErr w:type="gramEnd"/>
      <w:r w:rsidR="00B5670B"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2008.</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da-DK"/>
        </w:rPr>
        <w:lastRenderedPageBreak/>
        <w:t xml:space="preserve">CHALKOO, A.H. et al. </w:t>
      </w:r>
      <w:r w:rsidRPr="00402E82">
        <w:rPr>
          <w:rFonts w:ascii="Times New Roman" w:hAnsi="Times New Roman" w:cs="Times New Roman"/>
          <w:sz w:val="24"/>
          <w:szCs w:val="24"/>
          <w:lang w:val="en-US"/>
        </w:rPr>
        <w:t xml:space="preserve">Possible role of estrogen in </w:t>
      </w:r>
      <w:proofErr w:type="spellStart"/>
      <w:r w:rsidRPr="00402E82">
        <w:rPr>
          <w:rFonts w:ascii="Times New Roman" w:hAnsi="Times New Roman" w:cs="Times New Roman"/>
          <w:sz w:val="24"/>
          <w:szCs w:val="24"/>
          <w:lang w:val="en-US"/>
        </w:rPr>
        <w:t>temporomandibular</w:t>
      </w:r>
      <w:proofErr w:type="spellEnd"/>
      <w:r w:rsidRPr="00402E82">
        <w:rPr>
          <w:rFonts w:ascii="Times New Roman" w:hAnsi="Times New Roman" w:cs="Times New Roman"/>
          <w:sz w:val="24"/>
          <w:szCs w:val="24"/>
          <w:lang w:val="en-US"/>
        </w:rPr>
        <w:t xml:space="preserve"> disorders in female subjects: A research study. </w:t>
      </w:r>
      <w:r w:rsidRPr="00402E82">
        <w:rPr>
          <w:rFonts w:ascii="Times New Roman" w:hAnsi="Times New Roman" w:cs="Times New Roman"/>
          <w:b/>
          <w:sz w:val="24"/>
          <w:szCs w:val="24"/>
          <w:lang w:val="en-US"/>
        </w:rPr>
        <w:t>Journal of Indian Academy of Oral Medicine and Radiology</w:t>
      </w:r>
      <w:r w:rsidRPr="00402E82">
        <w:rPr>
          <w:rFonts w:ascii="Times New Roman" w:hAnsi="Times New Roman" w:cs="Times New Roman"/>
          <w:sz w:val="24"/>
          <w:szCs w:val="24"/>
          <w:lang w:val="en-US"/>
        </w:rPr>
        <w:t>, v. 26,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1, p. 30, 2014.</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COLLINS, M.; RALEIGH, S. Genetic risk factors for musculoskeletal soft tissue injuries. </w:t>
      </w:r>
      <w:r w:rsidRPr="00402E82">
        <w:rPr>
          <w:rFonts w:ascii="Times New Roman" w:hAnsi="Times New Roman" w:cs="Times New Roman"/>
          <w:b/>
          <w:sz w:val="24"/>
          <w:szCs w:val="24"/>
          <w:lang w:val="en-US"/>
        </w:rPr>
        <w:t>Medicine and Sport Science</w:t>
      </w:r>
      <w:r w:rsidRPr="00402E82">
        <w:rPr>
          <w:rFonts w:ascii="Times New Roman" w:hAnsi="Times New Roman" w:cs="Times New Roman"/>
          <w:sz w:val="24"/>
          <w:szCs w:val="24"/>
          <w:lang w:val="en-US"/>
        </w:rPr>
        <w:t xml:space="preserve">, v. 54, p.136-149, </w:t>
      </w:r>
      <w:proofErr w:type="gramStart"/>
      <w:r w:rsidRPr="00402E82">
        <w:rPr>
          <w:rFonts w:ascii="Times New Roman" w:hAnsi="Times New Roman" w:cs="Times New Roman"/>
          <w:sz w:val="24"/>
          <w:szCs w:val="24"/>
          <w:lang w:val="en-US"/>
        </w:rPr>
        <w:t>Feb,</w:t>
      </w:r>
      <w:proofErr w:type="gramEnd"/>
      <w:r w:rsidRPr="00402E82">
        <w:rPr>
          <w:rFonts w:ascii="Times New Roman" w:hAnsi="Times New Roman" w:cs="Times New Roman"/>
          <w:sz w:val="24"/>
          <w:szCs w:val="24"/>
          <w:lang w:val="en-US"/>
        </w:rPr>
        <w:t xml:space="preserve"> 2009.</w:t>
      </w:r>
    </w:p>
    <w:p w:rsidR="00991F84" w:rsidRPr="00402E82" w:rsidRDefault="00991F84"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CORREIA, L.M.F. et al. Importance of evaluating the presence of </w:t>
      </w:r>
      <w:proofErr w:type="spellStart"/>
      <w:r w:rsidRPr="00402E82">
        <w:rPr>
          <w:rFonts w:ascii="Times New Roman" w:hAnsi="Times New Roman" w:cs="Times New Roman"/>
          <w:sz w:val="24"/>
          <w:szCs w:val="24"/>
          <w:lang w:val="en-US"/>
        </w:rPr>
        <w:t>temporomandibular</w:t>
      </w:r>
      <w:proofErr w:type="spellEnd"/>
      <w:r w:rsidRPr="00402E82">
        <w:rPr>
          <w:rFonts w:ascii="Times New Roman" w:hAnsi="Times New Roman" w:cs="Times New Roman"/>
          <w:sz w:val="24"/>
          <w:szCs w:val="24"/>
          <w:lang w:val="en-US"/>
        </w:rPr>
        <w:t xml:space="preserve"> disorders in chronic pain patients. </w:t>
      </w:r>
      <w:proofErr w:type="spellStart"/>
      <w:r w:rsidRPr="00402E82">
        <w:rPr>
          <w:rFonts w:ascii="Times New Roman" w:hAnsi="Times New Roman" w:cs="Times New Roman"/>
          <w:b/>
          <w:sz w:val="24"/>
          <w:szCs w:val="24"/>
          <w:lang w:val="en-US"/>
        </w:rPr>
        <w:t>Revista</w:t>
      </w:r>
      <w:proofErr w:type="spellEnd"/>
      <w:r w:rsidRPr="00402E82">
        <w:rPr>
          <w:rFonts w:ascii="Times New Roman" w:hAnsi="Times New Roman" w:cs="Times New Roman"/>
          <w:b/>
          <w:sz w:val="24"/>
          <w:szCs w:val="24"/>
          <w:lang w:val="en-US"/>
        </w:rPr>
        <w:t xml:space="preserve"> </w:t>
      </w:r>
      <w:proofErr w:type="spellStart"/>
      <w:r w:rsidRPr="00402E82">
        <w:rPr>
          <w:rFonts w:ascii="Times New Roman" w:hAnsi="Times New Roman" w:cs="Times New Roman"/>
          <w:b/>
          <w:sz w:val="24"/>
          <w:szCs w:val="24"/>
          <w:lang w:val="en-US"/>
        </w:rPr>
        <w:t>Dor</w:t>
      </w:r>
      <w:proofErr w:type="spellEnd"/>
      <w:r w:rsidRPr="00402E82">
        <w:rPr>
          <w:rFonts w:ascii="Times New Roman" w:hAnsi="Times New Roman" w:cs="Times New Roman"/>
          <w:sz w:val="24"/>
          <w:szCs w:val="24"/>
          <w:lang w:val="en-US"/>
        </w:rPr>
        <w:t xml:space="preserve">, </w:t>
      </w:r>
      <w:r w:rsidR="00F429FC" w:rsidRPr="00402E82">
        <w:rPr>
          <w:rFonts w:ascii="Times New Roman" w:hAnsi="Times New Roman" w:cs="Times New Roman"/>
          <w:sz w:val="24"/>
          <w:szCs w:val="24"/>
          <w:lang w:val="en-US"/>
        </w:rPr>
        <w:t xml:space="preserve">São Paulo, </w:t>
      </w:r>
      <w:r w:rsidRPr="00402E82">
        <w:rPr>
          <w:rFonts w:ascii="Times New Roman" w:hAnsi="Times New Roman" w:cs="Times New Roman"/>
          <w:sz w:val="24"/>
          <w:szCs w:val="24"/>
          <w:lang w:val="en-US"/>
        </w:rPr>
        <w:t>v. 15, n. 1, p. 6-8, 2014.</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DWORKIN, S.F.</w:t>
      </w:r>
      <w:proofErr w:type="gramStart"/>
      <w:r w:rsidRPr="00402E82">
        <w:rPr>
          <w:rFonts w:ascii="Times New Roman" w:hAnsi="Times New Roman" w:cs="Times New Roman"/>
          <w:sz w:val="24"/>
          <w:szCs w:val="24"/>
          <w:lang w:val="en-US"/>
        </w:rPr>
        <w:t>;</w:t>
      </w:r>
      <w:proofErr w:type="gramEnd"/>
      <w:r w:rsidRPr="00402E82">
        <w:rPr>
          <w:rFonts w:ascii="Times New Roman" w:hAnsi="Times New Roman" w:cs="Times New Roman"/>
          <w:sz w:val="24"/>
          <w:szCs w:val="24"/>
          <w:lang w:val="en-US"/>
        </w:rPr>
        <w:t xml:space="preserve"> LERESCHE, L. Research diagnostic criteria for </w:t>
      </w:r>
      <w:proofErr w:type="spellStart"/>
      <w:r w:rsidRPr="00402E82">
        <w:rPr>
          <w:rFonts w:ascii="Times New Roman" w:hAnsi="Times New Roman" w:cs="Times New Roman"/>
          <w:sz w:val="24"/>
          <w:szCs w:val="24"/>
          <w:lang w:val="en-US"/>
        </w:rPr>
        <w:t>temporomandibular</w:t>
      </w:r>
      <w:proofErr w:type="spellEnd"/>
      <w:r w:rsidRPr="00402E82">
        <w:rPr>
          <w:rFonts w:ascii="Times New Roman" w:hAnsi="Times New Roman" w:cs="Times New Roman"/>
          <w:sz w:val="24"/>
          <w:szCs w:val="24"/>
          <w:lang w:val="en-US"/>
        </w:rPr>
        <w:t xml:space="preserve"> disorders: review, criteria, examinations and specifications, critique. </w:t>
      </w:r>
      <w:r w:rsidRPr="00402E82">
        <w:rPr>
          <w:rFonts w:ascii="Times New Roman" w:hAnsi="Times New Roman" w:cs="Times New Roman"/>
          <w:b/>
          <w:bCs/>
          <w:sz w:val="24"/>
          <w:szCs w:val="24"/>
          <w:lang w:val="en-US"/>
        </w:rPr>
        <w:t xml:space="preserve">Journal of </w:t>
      </w:r>
      <w:proofErr w:type="spellStart"/>
      <w:r w:rsidRPr="00402E82">
        <w:rPr>
          <w:rFonts w:ascii="Times New Roman" w:hAnsi="Times New Roman" w:cs="Times New Roman"/>
          <w:b/>
          <w:bCs/>
          <w:sz w:val="24"/>
          <w:szCs w:val="24"/>
          <w:lang w:val="en-US"/>
        </w:rPr>
        <w:t>craniomandibular</w:t>
      </w:r>
      <w:proofErr w:type="spellEnd"/>
      <w:r w:rsidRPr="00402E82">
        <w:rPr>
          <w:rFonts w:ascii="Times New Roman" w:hAnsi="Times New Roman" w:cs="Times New Roman"/>
          <w:b/>
          <w:bCs/>
          <w:sz w:val="24"/>
          <w:szCs w:val="24"/>
          <w:lang w:val="en-US"/>
        </w:rPr>
        <w:t xml:space="preserve"> disorders</w:t>
      </w:r>
      <w:r w:rsidRPr="00402E82">
        <w:rPr>
          <w:rFonts w:ascii="Times New Roman" w:hAnsi="Times New Roman" w:cs="Times New Roman"/>
          <w:sz w:val="24"/>
          <w:szCs w:val="24"/>
          <w:lang w:val="en-US"/>
        </w:rPr>
        <w:t xml:space="preserve">, </w:t>
      </w:r>
      <w:proofErr w:type="spellStart"/>
      <w:r w:rsidRPr="00402E82">
        <w:rPr>
          <w:rFonts w:ascii="Times New Roman" w:hAnsi="Times New Roman" w:cs="Times New Roman"/>
          <w:sz w:val="24"/>
          <w:szCs w:val="24"/>
          <w:lang w:val="en-US"/>
        </w:rPr>
        <w:t>Lombar</w:t>
      </w:r>
      <w:proofErr w:type="spellEnd"/>
      <w:r w:rsidRPr="00402E82">
        <w:rPr>
          <w:rFonts w:ascii="Times New Roman" w:hAnsi="Times New Roman" w:cs="Times New Roman"/>
          <w:sz w:val="24"/>
          <w:szCs w:val="24"/>
          <w:lang w:val="en-US"/>
        </w:rPr>
        <w:t>, v.6, p.301-355, 1992.</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FAUSER, B.C. et al. Consensus on women’s health aspects of polycystic ovary syndrome (PCOS): The Amsterdam ESHRE/ASRM-Sponsored </w:t>
      </w:r>
      <w:proofErr w:type="gramStart"/>
      <w:r w:rsidRPr="00402E82">
        <w:rPr>
          <w:rFonts w:ascii="Times New Roman" w:hAnsi="Times New Roman" w:cs="Times New Roman"/>
          <w:sz w:val="24"/>
          <w:szCs w:val="24"/>
          <w:lang w:val="en-US"/>
        </w:rPr>
        <w:t>3rd</w:t>
      </w:r>
      <w:proofErr w:type="gramEnd"/>
      <w:r w:rsidRPr="00402E82">
        <w:rPr>
          <w:rFonts w:ascii="Times New Roman" w:hAnsi="Times New Roman" w:cs="Times New Roman"/>
          <w:sz w:val="24"/>
          <w:szCs w:val="24"/>
          <w:lang w:val="en-US"/>
        </w:rPr>
        <w:t xml:space="preserve"> PCOS Consensus Workshop Group. </w:t>
      </w:r>
      <w:r w:rsidRPr="00402E82">
        <w:rPr>
          <w:rFonts w:ascii="Times New Roman" w:hAnsi="Times New Roman" w:cs="Times New Roman"/>
          <w:b/>
          <w:sz w:val="24"/>
          <w:szCs w:val="24"/>
          <w:lang w:val="en-US"/>
        </w:rPr>
        <w:t>Fertility and sterility</w:t>
      </w:r>
      <w:r w:rsidRPr="00402E82">
        <w:rPr>
          <w:rFonts w:ascii="Times New Roman" w:hAnsi="Times New Roman" w:cs="Times New Roman"/>
          <w:sz w:val="24"/>
          <w:szCs w:val="24"/>
          <w:lang w:val="en-US"/>
        </w:rPr>
        <w:t>, New York, v.97,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1, p.28-38, </w:t>
      </w:r>
      <w:proofErr w:type="gramStart"/>
      <w:r w:rsidR="00B5670B" w:rsidRPr="00402E82">
        <w:rPr>
          <w:rFonts w:ascii="Times New Roman" w:hAnsi="Times New Roman" w:cs="Times New Roman"/>
          <w:sz w:val="24"/>
          <w:szCs w:val="24"/>
          <w:lang w:val="en-US"/>
        </w:rPr>
        <w:t>Jan,</w:t>
      </w:r>
      <w:proofErr w:type="gramEnd"/>
      <w:r w:rsidR="00B5670B"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2012.</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HASSAN, S.; MUERE, A.; EINSTEIN, G. Ovarian hormones and chronic pain: A comprehensive review. </w:t>
      </w:r>
      <w:r w:rsidRPr="00402E82">
        <w:rPr>
          <w:rFonts w:ascii="Times New Roman" w:hAnsi="Times New Roman" w:cs="Times New Roman"/>
          <w:b/>
          <w:sz w:val="24"/>
          <w:szCs w:val="24"/>
          <w:lang w:val="en-US"/>
        </w:rPr>
        <w:t>Pain</w:t>
      </w:r>
      <w:r w:rsidRPr="00402E82">
        <w:rPr>
          <w:rFonts w:ascii="Times New Roman" w:hAnsi="Times New Roman" w:cs="Times New Roman"/>
          <w:sz w:val="24"/>
          <w:szCs w:val="24"/>
          <w:lang w:val="en-US"/>
        </w:rPr>
        <w:t>, Amsterdam, v.155,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.12, p. 2448-2460, </w:t>
      </w:r>
      <w:proofErr w:type="gramStart"/>
      <w:r w:rsidR="00B5670B" w:rsidRPr="00402E82">
        <w:rPr>
          <w:rFonts w:ascii="Times New Roman" w:hAnsi="Times New Roman" w:cs="Times New Roman"/>
          <w:sz w:val="24"/>
          <w:szCs w:val="24"/>
          <w:lang w:val="en-US"/>
        </w:rPr>
        <w:t>Dec,</w:t>
      </w:r>
      <w:proofErr w:type="gramEnd"/>
      <w:r w:rsidR="00B5670B"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2014.</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color w:val="222222"/>
          <w:sz w:val="24"/>
          <w:szCs w:val="24"/>
          <w:shd w:val="clear" w:color="auto" w:fill="FFFFFF"/>
          <w:lang w:val="nl-NL"/>
        </w:rPr>
        <w:t xml:space="preserve">HOLLINRAKE, E. et al. </w:t>
      </w:r>
      <w:r w:rsidRPr="00402E82">
        <w:rPr>
          <w:rFonts w:ascii="Times New Roman" w:hAnsi="Times New Roman" w:cs="Times New Roman"/>
          <w:color w:val="222222"/>
          <w:sz w:val="24"/>
          <w:szCs w:val="24"/>
          <w:shd w:val="clear" w:color="auto" w:fill="FFFFFF"/>
          <w:lang w:val="en-US"/>
        </w:rPr>
        <w:t>Increased risk of depressive disorders in women with polycystic ovary syndrome.</w:t>
      </w:r>
      <w:r w:rsidRPr="00402E82">
        <w:rPr>
          <w:rStyle w:val="apple-converted-space"/>
          <w:rFonts w:ascii="Times New Roman" w:hAnsi="Times New Roman" w:cs="Times New Roman"/>
          <w:color w:val="222222"/>
          <w:sz w:val="24"/>
          <w:szCs w:val="24"/>
          <w:shd w:val="clear" w:color="auto" w:fill="FFFFFF"/>
          <w:lang w:val="en-US"/>
        </w:rPr>
        <w:t> </w:t>
      </w:r>
      <w:proofErr w:type="spellStart"/>
      <w:r w:rsidRPr="00402E82">
        <w:rPr>
          <w:rFonts w:ascii="Times New Roman" w:hAnsi="Times New Roman" w:cs="Times New Roman"/>
          <w:b/>
          <w:iCs/>
          <w:color w:val="222222"/>
          <w:sz w:val="24"/>
          <w:szCs w:val="24"/>
          <w:shd w:val="clear" w:color="auto" w:fill="FFFFFF"/>
        </w:rPr>
        <w:t>Fertility</w:t>
      </w:r>
      <w:proofErr w:type="spellEnd"/>
      <w:r w:rsidRPr="00402E82">
        <w:rPr>
          <w:rFonts w:ascii="Times New Roman" w:hAnsi="Times New Roman" w:cs="Times New Roman"/>
          <w:b/>
          <w:iCs/>
          <w:color w:val="222222"/>
          <w:sz w:val="24"/>
          <w:szCs w:val="24"/>
          <w:shd w:val="clear" w:color="auto" w:fill="FFFFFF"/>
        </w:rPr>
        <w:t xml:space="preserve"> </w:t>
      </w:r>
      <w:proofErr w:type="spellStart"/>
      <w:r w:rsidRPr="00402E82">
        <w:rPr>
          <w:rFonts w:ascii="Times New Roman" w:hAnsi="Times New Roman" w:cs="Times New Roman"/>
          <w:b/>
          <w:iCs/>
          <w:color w:val="222222"/>
          <w:sz w:val="24"/>
          <w:szCs w:val="24"/>
          <w:shd w:val="clear" w:color="auto" w:fill="FFFFFF"/>
        </w:rPr>
        <w:t>and</w:t>
      </w:r>
      <w:proofErr w:type="spellEnd"/>
      <w:r w:rsidRPr="00402E82">
        <w:rPr>
          <w:rFonts w:ascii="Times New Roman" w:hAnsi="Times New Roman" w:cs="Times New Roman"/>
          <w:b/>
          <w:iCs/>
          <w:color w:val="222222"/>
          <w:sz w:val="24"/>
          <w:szCs w:val="24"/>
          <w:shd w:val="clear" w:color="auto" w:fill="FFFFFF"/>
        </w:rPr>
        <w:t xml:space="preserve"> </w:t>
      </w:r>
      <w:proofErr w:type="spellStart"/>
      <w:r w:rsidRPr="00402E82">
        <w:rPr>
          <w:rFonts w:ascii="Times New Roman" w:hAnsi="Times New Roman" w:cs="Times New Roman"/>
          <w:b/>
          <w:iCs/>
          <w:color w:val="222222"/>
          <w:sz w:val="24"/>
          <w:szCs w:val="24"/>
          <w:shd w:val="clear" w:color="auto" w:fill="FFFFFF"/>
        </w:rPr>
        <w:t>sterility</w:t>
      </w:r>
      <w:proofErr w:type="spellEnd"/>
      <w:r w:rsidRPr="00402E82">
        <w:rPr>
          <w:rFonts w:ascii="Times New Roman" w:hAnsi="Times New Roman" w:cs="Times New Roman"/>
          <w:color w:val="222222"/>
          <w:sz w:val="24"/>
          <w:szCs w:val="24"/>
          <w:shd w:val="clear" w:color="auto" w:fill="FFFFFF"/>
        </w:rPr>
        <w:t>,</w:t>
      </w:r>
      <w:r w:rsidRPr="00402E82">
        <w:rPr>
          <w:rStyle w:val="apple-converted-space"/>
          <w:rFonts w:ascii="Times New Roman" w:hAnsi="Times New Roman" w:cs="Times New Roman"/>
          <w:color w:val="222222"/>
          <w:sz w:val="24"/>
          <w:szCs w:val="24"/>
          <w:shd w:val="clear" w:color="auto" w:fill="FFFFFF"/>
        </w:rPr>
        <w:t> New York, v. 87, n</w:t>
      </w:r>
      <w:r w:rsidR="00402E82">
        <w:rPr>
          <w:rStyle w:val="apple-converted-space"/>
          <w:rFonts w:ascii="Times New Roman" w:hAnsi="Times New Roman" w:cs="Times New Roman"/>
          <w:color w:val="222222"/>
          <w:sz w:val="24"/>
          <w:szCs w:val="24"/>
          <w:shd w:val="clear" w:color="auto" w:fill="FFFFFF"/>
        </w:rPr>
        <w:t>o</w:t>
      </w:r>
      <w:r w:rsidRPr="00402E82">
        <w:rPr>
          <w:rStyle w:val="apple-converted-space"/>
          <w:rFonts w:ascii="Times New Roman" w:hAnsi="Times New Roman" w:cs="Times New Roman"/>
          <w:color w:val="222222"/>
          <w:sz w:val="24"/>
          <w:szCs w:val="24"/>
          <w:shd w:val="clear" w:color="auto" w:fill="FFFFFF"/>
        </w:rPr>
        <w:t>. 6, p.</w:t>
      </w:r>
      <w:r w:rsidRPr="00402E82">
        <w:rPr>
          <w:rFonts w:ascii="Times New Roman" w:hAnsi="Times New Roman" w:cs="Times New Roman"/>
          <w:color w:val="222222"/>
          <w:sz w:val="24"/>
          <w:szCs w:val="24"/>
          <w:shd w:val="clear" w:color="auto" w:fill="FFFFFF"/>
        </w:rPr>
        <w:t xml:space="preserve"> 1369-1376, </w:t>
      </w:r>
      <w:proofErr w:type="spellStart"/>
      <w:r w:rsidR="008F44FF" w:rsidRPr="00402E82">
        <w:rPr>
          <w:rFonts w:ascii="Times New Roman" w:hAnsi="Times New Roman" w:cs="Times New Roman"/>
          <w:color w:val="222222"/>
          <w:sz w:val="24"/>
          <w:szCs w:val="24"/>
          <w:shd w:val="clear" w:color="auto" w:fill="FFFFFF"/>
        </w:rPr>
        <w:t>Jun</w:t>
      </w:r>
      <w:proofErr w:type="spellEnd"/>
      <w:r w:rsidR="008F44FF" w:rsidRPr="00402E82">
        <w:rPr>
          <w:rFonts w:ascii="Times New Roman" w:hAnsi="Times New Roman" w:cs="Times New Roman"/>
          <w:color w:val="222222"/>
          <w:sz w:val="24"/>
          <w:szCs w:val="24"/>
          <w:shd w:val="clear" w:color="auto" w:fill="FFFFFF"/>
        </w:rPr>
        <w:t xml:space="preserve">, </w:t>
      </w:r>
      <w:r w:rsidRPr="00402E82">
        <w:rPr>
          <w:rFonts w:ascii="Times New Roman" w:hAnsi="Times New Roman" w:cs="Times New Roman"/>
          <w:color w:val="222222"/>
          <w:sz w:val="24"/>
          <w:szCs w:val="24"/>
          <w:shd w:val="clear" w:color="auto" w:fill="FFFFFF"/>
        </w:rPr>
        <w:t>2007.</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rPr>
        <w:t xml:space="preserve">JUNIOR, G. et al. Adrenal </w:t>
      </w:r>
      <w:proofErr w:type="spellStart"/>
      <w:r w:rsidRPr="00402E82">
        <w:rPr>
          <w:rFonts w:ascii="Times New Roman" w:hAnsi="Times New Roman" w:cs="Times New Roman"/>
          <w:sz w:val="24"/>
          <w:szCs w:val="24"/>
        </w:rPr>
        <w:t>androgen</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participation</w:t>
      </w:r>
      <w:proofErr w:type="spellEnd"/>
      <w:r w:rsidRPr="00402E82">
        <w:rPr>
          <w:rFonts w:ascii="Times New Roman" w:hAnsi="Times New Roman" w:cs="Times New Roman"/>
          <w:sz w:val="24"/>
          <w:szCs w:val="24"/>
        </w:rPr>
        <w:t xml:space="preserve"> in </w:t>
      </w:r>
      <w:proofErr w:type="spellStart"/>
      <w:r w:rsidRPr="00402E82">
        <w:rPr>
          <w:rFonts w:ascii="Times New Roman" w:hAnsi="Times New Roman" w:cs="Times New Roman"/>
          <w:sz w:val="24"/>
          <w:szCs w:val="24"/>
        </w:rPr>
        <w:t>the</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polycystic</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ovary</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syndrome</w:t>
      </w:r>
      <w:proofErr w:type="spellEnd"/>
      <w:r w:rsidRPr="00402E82">
        <w:rPr>
          <w:rFonts w:ascii="Times New Roman" w:hAnsi="Times New Roman" w:cs="Times New Roman"/>
          <w:sz w:val="24"/>
          <w:szCs w:val="24"/>
        </w:rPr>
        <w:t xml:space="preserve">. </w:t>
      </w:r>
      <w:r w:rsidRPr="00402E82">
        <w:rPr>
          <w:rFonts w:ascii="Times New Roman" w:hAnsi="Times New Roman" w:cs="Times New Roman"/>
          <w:b/>
          <w:sz w:val="24"/>
          <w:szCs w:val="24"/>
        </w:rPr>
        <w:t>Revista Brasileira de Ginecologia e Obstetrícia</w:t>
      </w:r>
      <w:r w:rsidRPr="00402E82">
        <w:rPr>
          <w:rFonts w:ascii="Times New Roman" w:hAnsi="Times New Roman" w:cs="Times New Roman"/>
          <w:sz w:val="24"/>
          <w:szCs w:val="24"/>
          <w:lang w:val="en-US"/>
        </w:rPr>
        <w:t xml:space="preserve">, Rio de Janeiro, v.32, n.11, p.541-548, </w:t>
      </w:r>
      <w:r w:rsidR="008F44FF" w:rsidRPr="00402E82">
        <w:rPr>
          <w:rFonts w:ascii="Times New Roman" w:hAnsi="Times New Roman" w:cs="Times New Roman"/>
          <w:sz w:val="24"/>
          <w:szCs w:val="24"/>
          <w:lang w:val="en-US"/>
        </w:rPr>
        <w:t xml:space="preserve">Nov, </w:t>
      </w:r>
      <w:r w:rsidRPr="00402E82">
        <w:rPr>
          <w:rFonts w:ascii="Times New Roman" w:hAnsi="Times New Roman" w:cs="Times New Roman"/>
          <w:sz w:val="24"/>
          <w:szCs w:val="24"/>
          <w:lang w:val="en-US"/>
        </w:rPr>
        <w:t>2010.</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nl-NL"/>
        </w:rPr>
        <w:lastRenderedPageBreak/>
        <w:t xml:space="preserve">KESSENBROCK, K.; CHIH-YANG, W.; WERB, Z. </w:t>
      </w:r>
      <w:r w:rsidRPr="00402E82">
        <w:rPr>
          <w:rFonts w:ascii="Times New Roman" w:hAnsi="Times New Roman" w:cs="Times New Roman"/>
          <w:sz w:val="24"/>
          <w:szCs w:val="24"/>
          <w:lang w:val="en-US"/>
        </w:rPr>
        <w:t xml:space="preserve">Matrix </w:t>
      </w:r>
      <w:proofErr w:type="spellStart"/>
      <w:r w:rsidRPr="00402E82">
        <w:rPr>
          <w:rFonts w:ascii="Times New Roman" w:hAnsi="Times New Roman" w:cs="Times New Roman"/>
          <w:sz w:val="24"/>
          <w:szCs w:val="24"/>
          <w:lang w:val="en-US"/>
        </w:rPr>
        <w:t>metalloproteinases</w:t>
      </w:r>
      <w:proofErr w:type="spellEnd"/>
      <w:r w:rsidRPr="00402E82">
        <w:rPr>
          <w:rFonts w:ascii="Times New Roman" w:hAnsi="Times New Roman" w:cs="Times New Roman"/>
          <w:sz w:val="24"/>
          <w:szCs w:val="24"/>
          <w:lang w:val="en-US"/>
        </w:rPr>
        <w:t xml:space="preserve"> in stem cell regulation and cancer. </w:t>
      </w:r>
      <w:r w:rsidRPr="00402E82">
        <w:rPr>
          <w:rFonts w:ascii="Times New Roman" w:hAnsi="Times New Roman" w:cs="Times New Roman"/>
          <w:b/>
          <w:sz w:val="24"/>
          <w:szCs w:val="24"/>
          <w:lang w:val="en-US"/>
        </w:rPr>
        <w:t>Matrix Biology</w:t>
      </w:r>
      <w:r w:rsidRPr="00402E82">
        <w:rPr>
          <w:rFonts w:ascii="Times New Roman" w:hAnsi="Times New Roman" w:cs="Times New Roman"/>
          <w:sz w:val="24"/>
          <w:szCs w:val="24"/>
          <w:lang w:val="en-US"/>
        </w:rPr>
        <w:t>, Stuttgart, </w:t>
      </w:r>
      <w:r w:rsidR="008F44FF" w:rsidRPr="00402E82">
        <w:rPr>
          <w:rFonts w:ascii="Times New Roman" w:hAnsi="Times New Roman" w:cs="Times New Roman"/>
          <w:sz w:val="24"/>
          <w:szCs w:val="24"/>
          <w:lang w:val="en-US"/>
        </w:rPr>
        <w:t xml:space="preserve">May-Jul, </w:t>
      </w:r>
      <w:r w:rsidRPr="00402E82">
        <w:rPr>
          <w:rFonts w:ascii="Times New Roman" w:hAnsi="Times New Roman" w:cs="Times New Roman"/>
          <w:sz w:val="24"/>
          <w:szCs w:val="24"/>
          <w:lang w:val="en-US"/>
        </w:rPr>
        <w:t>2015.</w:t>
      </w:r>
    </w:p>
    <w:p w:rsidR="00067CDE" w:rsidRPr="00402E82" w:rsidRDefault="007671D2"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KRAMER, P.R.; BELLINGER, L.L. </w:t>
      </w:r>
      <w:r w:rsidR="00067CDE" w:rsidRPr="00402E82">
        <w:rPr>
          <w:rFonts w:ascii="Times New Roman" w:hAnsi="Times New Roman" w:cs="Times New Roman"/>
          <w:sz w:val="24"/>
          <w:szCs w:val="24"/>
          <w:lang w:val="en-US"/>
        </w:rPr>
        <w:t xml:space="preserve">Modulation of </w:t>
      </w:r>
      <w:proofErr w:type="spellStart"/>
      <w:r w:rsidR="00067CDE" w:rsidRPr="00402E82">
        <w:rPr>
          <w:rFonts w:ascii="Times New Roman" w:hAnsi="Times New Roman" w:cs="Times New Roman"/>
          <w:sz w:val="24"/>
          <w:szCs w:val="24"/>
          <w:lang w:val="en-US"/>
        </w:rPr>
        <w:t>temporomandibular</w:t>
      </w:r>
      <w:proofErr w:type="spellEnd"/>
      <w:r w:rsidR="00067CDE" w:rsidRPr="00402E82">
        <w:rPr>
          <w:rFonts w:ascii="Times New Roman" w:hAnsi="Times New Roman" w:cs="Times New Roman"/>
          <w:sz w:val="24"/>
          <w:szCs w:val="24"/>
          <w:lang w:val="en-US"/>
        </w:rPr>
        <w:t xml:space="preserve"> joint nociception and inflammation</w:t>
      </w:r>
      <w:r w:rsidRPr="00402E82">
        <w:rPr>
          <w:rFonts w:ascii="Times New Roman" w:hAnsi="Times New Roman" w:cs="Times New Roman"/>
          <w:sz w:val="24"/>
          <w:szCs w:val="24"/>
          <w:lang w:val="en-US"/>
        </w:rPr>
        <w:t xml:space="preserve"> </w:t>
      </w:r>
      <w:r w:rsidR="00067CDE" w:rsidRPr="00402E82">
        <w:rPr>
          <w:rFonts w:ascii="Times New Roman" w:hAnsi="Times New Roman" w:cs="Times New Roman"/>
          <w:sz w:val="24"/>
          <w:szCs w:val="24"/>
          <w:lang w:val="en-US"/>
        </w:rPr>
        <w:t>in male rats after administering a physiological concentration of 17β –</w:t>
      </w:r>
      <w:proofErr w:type="spellStart"/>
      <w:r w:rsidR="00067CDE" w:rsidRPr="00402E82">
        <w:rPr>
          <w:rFonts w:ascii="Times New Roman" w:hAnsi="Times New Roman" w:cs="Times New Roman"/>
          <w:sz w:val="24"/>
          <w:szCs w:val="24"/>
          <w:lang w:val="en-US"/>
        </w:rPr>
        <w:t>oestradiol</w:t>
      </w:r>
      <w:proofErr w:type="spellEnd"/>
      <w:r w:rsidR="00067CDE" w:rsidRPr="00402E82">
        <w:rPr>
          <w:rFonts w:ascii="Times New Roman" w:hAnsi="Times New Roman" w:cs="Times New Roman"/>
          <w:sz w:val="24"/>
          <w:szCs w:val="24"/>
          <w:lang w:val="en-US"/>
        </w:rPr>
        <w:t xml:space="preserve">. </w:t>
      </w:r>
      <w:r w:rsidR="00067CDE" w:rsidRPr="00402E82">
        <w:rPr>
          <w:rFonts w:ascii="Times New Roman" w:hAnsi="Times New Roman" w:cs="Times New Roman"/>
          <w:b/>
          <w:sz w:val="24"/>
          <w:szCs w:val="24"/>
          <w:lang w:val="en-US"/>
        </w:rPr>
        <w:t>European</w:t>
      </w:r>
      <w:r w:rsidRPr="00402E82">
        <w:rPr>
          <w:rFonts w:ascii="Times New Roman" w:hAnsi="Times New Roman" w:cs="Times New Roman"/>
          <w:b/>
          <w:sz w:val="24"/>
          <w:szCs w:val="24"/>
          <w:lang w:val="en-US"/>
        </w:rPr>
        <w:t xml:space="preserve"> </w:t>
      </w:r>
      <w:r w:rsidR="00067CDE" w:rsidRPr="00402E82">
        <w:rPr>
          <w:rFonts w:ascii="Times New Roman" w:hAnsi="Times New Roman" w:cs="Times New Roman"/>
          <w:b/>
          <w:sz w:val="24"/>
          <w:szCs w:val="24"/>
          <w:lang w:val="en-US"/>
        </w:rPr>
        <w:t>Journal of Pain</w:t>
      </w:r>
      <w:r w:rsidRPr="00402E82">
        <w:rPr>
          <w:rFonts w:ascii="Times New Roman" w:hAnsi="Times New Roman" w:cs="Times New Roman"/>
          <w:sz w:val="24"/>
          <w:szCs w:val="24"/>
          <w:lang w:val="en-US"/>
        </w:rPr>
        <w:t>,</w:t>
      </w:r>
      <w:r w:rsidR="00067CDE"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London, v.</w:t>
      </w:r>
      <w:r w:rsidR="00067CDE" w:rsidRPr="00402E82">
        <w:rPr>
          <w:rFonts w:ascii="Times New Roman" w:hAnsi="Times New Roman" w:cs="Times New Roman"/>
          <w:sz w:val="24"/>
          <w:szCs w:val="24"/>
          <w:lang w:val="en-US"/>
        </w:rPr>
        <w:t>17</w:t>
      </w:r>
      <w:r w:rsidRPr="00402E82">
        <w:rPr>
          <w:rFonts w:ascii="Times New Roman" w:hAnsi="Times New Roman" w:cs="Times New Roman"/>
          <w:sz w:val="24"/>
          <w:szCs w:val="24"/>
          <w:lang w:val="en-US"/>
        </w:rPr>
        <w:t>,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.2, p.</w:t>
      </w:r>
      <w:r w:rsidR="00067CDE" w:rsidRPr="00402E82">
        <w:rPr>
          <w:rFonts w:ascii="Times New Roman" w:hAnsi="Times New Roman" w:cs="Times New Roman"/>
          <w:sz w:val="24"/>
          <w:szCs w:val="24"/>
          <w:lang w:val="en-US"/>
        </w:rPr>
        <w:t>174-184, 2012</w:t>
      </w:r>
      <w:r w:rsidRPr="00402E82">
        <w:rPr>
          <w:rFonts w:ascii="Times New Roman" w:hAnsi="Times New Roman" w:cs="Times New Roman"/>
          <w:sz w:val="24"/>
          <w:szCs w:val="24"/>
          <w:lang w:val="en-US"/>
        </w:rPr>
        <w:t>.</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nl-NL"/>
        </w:rPr>
        <w:t xml:space="preserve">LEGRO, R.S. et al. </w:t>
      </w:r>
      <w:r w:rsidRPr="00402E82">
        <w:rPr>
          <w:rFonts w:ascii="Times New Roman" w:hAnsi="Times New Roman" w:cs="Times New Roman"/>
          <w:sz w:val="24"/>
          <w:szCs w:val="24"/>
          <w:lang w:val="en-US"/>
        </w:rPr>
        <w:t>Diagnosis and treatment of polycystic ovary syndrome: an endocrine society clinical practice guideline. </w:t>
      </w:r>
      <w:r w:rsidRPr="00402E82">
        <w:rPr>
          <w:rFonts w:ascii="Times New Roman" w:hAnsi="Times New Roman" w:cs="Times New Roman"/>
          <w:b/>
          <w:sz w:val="24"/>
          <w:szCs w:val="24"/>
          <w:lang w:val="en-US"/>
        </w:rPr>
        <w:t>The Journal of Clinical Endocrinology &amp; Metabolism</w:t>
      </w:r>
      <w:r w:rsidRPr="00402E82">
        <w:rPr>
          <w:rFonts w:ascii="Times New Roman" w:hAnsi="Times New Roman" w:cs="Times New Roman"/>
          <w:sz w:val="24"/>
          <w:szCs w:val="24"/>
          <w:lang w:val="en-US"/>
        </w:rPr>
        <w:t>, v. 98,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12, p. 4565-4592, </w:t>
      </w:r>
      <w:proofErr w:type="gramStart"/>
      <w:r w:rsidR="008F44FF" w:rsidRPr="00402E82">
        <w:rPr>
          <w:rFonts w:ascii="Times New Roman" w:hAnsi="Times New Roman" w:cs="Times New Roman"/>
          <w:sz w:val="24"/>
          <w:szCs w:val="24"/>
          <w:lang w:val="en-US"/>
        </w:rPr>
        <w:t>Dec,</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2013.</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LEONARDI, R.; CALTABIANO, R.; LORETO, C. Collagenase-3 (MMP-13) is expressed in </w:t>
      </w:r>
      <w:proofErr w:type="spellStart"/>
      <w:r w:rsidRPr="00402E82">
        <w:rPr>
          <w:rFonts w:ascii="Times New Roman" w:hAnsi="Times New Roman" w:cs="Times New Roman"/>
          <w:sz w:val="24"/>
          <w:szCs w:val="24"/>
          <w:lang w:val="en-US"/>
        </w:rPr>
        <w:t>periapical</w:t>
      </w:r>
      <w:proofErr w:type="spellEnd"/>
      <w:r w:rsidRPr="00402E82">
        <w:rPr>
          <w:rFonts w:ascii="Times New Roman" w:hAnsi="Times New Roman" w:cs="Times New Roman"/>
          <w:sz w:val="24"/>
          <w:szCs w:val="24"/>
          <w:lang w:val="en-US"/>
        </w:rPr>
        <w:t xml:space="preserve"> lesions: an </w:t>
      </w:r>
      <w:proofErr w:type="spellStart"/>
      <w:r w:rsidRPr="00402E82">
        <w:rPr>
          <w:rFonts w:ascii="Times New Roman" w:hAnsi="Times New Roman" w:cs="Times New Roman"/>
          <w:sz w:val="24"/>
          <w:szCs w:val="24"/>
          <w:lang w:val="en-US"/>
        </w:rPr>
        <w:t>immunohistochemical</w:t>
      </w:r>
      <w:proofErr w:type="spellEnd"/>
      <w:r w:rsidRPr="00402E82">
        <w:rPr>
          <w:rFonts w:ascii="Times New Roman" w:hAnsi="Times New Roman" w:cs="Times New Roman"/>
          <w:sz w:val="24"/>
          <w:szCs w:val="24"/>
          <w:lang w:val="en-US"/>
        </w:rPr>
        <w:t xml:space="preserve"> study. </w:t>
      </w:r>
      <w:r w:rsidRPr="00402E82">
        <w:rPr>
          <w:rFonts w:ascii="Times New Roman" w:hAnsi="Times New Roman" w:cs="Times New Roman"/>
          <w:b/>
          <w:sz w:val="24"/>
          <w:szCs w:val="24"/>
          <w:lang w:val="en-US"/>
        </w:rPr>
        <w:t>International endodontic journal</w:t>
      </w:r>
      <w:r w:rsidRPr="00402E82">
        <w:rPr>
          <w:rFonts w:ascii="Times New Roman" w:hAnsi="Times New Roman" w:cs="Times New Roman"/>
          <w:sz w:val="24"/>
          <w:szCs w:val="24"/>
          <w:lang w:val="en-US"/>
        </w:rPr>
        <w:t>, Oxford, v.38,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.5, p.297-301, </w:t>
      </w:r>
      <w:r w:rsidR="008F44FF" w:rsidRPr="00402E82">
        <w:rPr>
          <w:rFonts w:ascii="Times New Roman" w:hAnsi="Times New Roman" w:cs="Times New Roman"/>
          <w:sz w:val="24"/>
          <w:szCs w:val="24"/>
          <w:lang w:val="en-US"/>
        </w:rPr>
        <w:t xml:space="preserve">May, </w:t>
      </w:r>
      <w:r w:rsidRPr="00402E82">
        <w:rPr>
          <w:rFonts w:ascii="Times New Roman" w:hAnsi="Times New Roman" w:cs="Times New Roman"/>
          <w:sz w:val="24"/>
          <w:szCs w:val="24"/>
          <w:lang w:val="en-US"/>
        </w:rPr>
        <w:t>2005.</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LIANG, M. et al. Regulation of hypoxia-induced cell death in human </w:t>
      </w:r>
      <w:proofErr w:type="spellStart"/>
      <w:r w:rsidRPr="00402E82">
        <w:rPr>
          <w:rFonts w:ascii="Times New Roman" w:hAnsi="Times New Roman" w:cs="Times New Roman"/>
          <w:sz w:val="24"/>
          <w:szCs w:val="24"/>
          <w:lang w:val="en-US"/>
        </w:rPr>
        <w:t>tenocytes</w:t>
      </w:r>
      <w:proofErr w:type="spellEnd"/>
      <w:r w:rsidRPr="00402E82">
        <w:rPr>
          <w:rFonts w:ascii="Times New Roman" w:hAnsi="Times New Roman" w:cs="Times New Roman"/>
          <w:sz w:val="24"/>
          <w:szCs w:val="24"/>
          <w:lang w:val="en-US"/>
        </w:rPr>
        <w:t xml:space="preserve">. </w:t>
      </w:r>
      <w:r w:rsidRPr="00402E82">
        <w:rPr>
          <w:rFonts w:ascii="Times New Roman" w:hAnsi="Times New Roman" w:cs="Times New Roman"/>
          <w:b/>
          <w:bCs/>
          <w:sz w:val="24"/>
          <w:szCs w:val="24"/>
          <w:lang w:val="en-US"/>
        </w:rPr>
        <w:t xml:space="preserve">Advances in operative </w:t>
      </w:r>
      <w:proofErr w:type="spellStart"/>
      <w:r w:rsidRPr="00402E82">
        <w:rPr>
          <w:rFonts w:ascii="Times New Roman" w:hAnsi="Times New Roman" w:cs="Times New Roman"/>
          <w:b/>
          <w:bCs/>
          <w:sz w:val="24"/>
          <w:szCs w:val="24"/>
          <w:lang w:val="en-US"/>
        </w:rPr>
        <w:t>orthopaedics</w:t>
      </w:r>
      <w:proofErr w:type="spellEnd"/>
      <w:r w:rsidRPr="00402E82">
        <w:rPr>
          <w:rFonts w:ascii="Times New Roman" w:hAnsi="Times New Roman" w:cs="Times New Roman"/>
          <w:b/>
          <w:bCs/>
          <w:sz w:val="24"/>
          <w:szCs w:val="24"/>
          <w:lang w:val="en-US"/>
        </w:rPr>
        <w:t xml:space="preserve">, </w:t>
      </w:r>
      <w:r w:rsidRPr="00402E82">
        <w:rPr>
          <w:rFonts w:ascii="Times New Roman" w:hAnsi="Times New Roman" w:cs="Times New Roman"/>
          <w:sz w:val="24"/>
          <w:szCs w:val="24"/>
          <w:lang w:val="en-US"/>
        </w:rPr>
        <w:t>ST Louis, v. 2012, 2012.</w:t>
      </w:r>
    </w:p>
    <w:p w:rsidR="00EC3B37" w:rsidRPr="00402E82" w:rsidRDefault="00EC3B37"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LOPEZ, C. et al. A pilot study of cognitive behavioral stress management effects on stress, quality of life, and symptoms in persons with chronic fatigue syndrome. </w:t>
      </w:r>
      <w:r w:rsidRPr="00402E82">
        <w:rPr>
          <w:rFonts w:ascii="Times New Roman" w:hAnsi="Times New Roman" w:cs="Times New Roman"/>
          <w:b/>
          <w:sz w:val="24"/>
          <w:szCs w:val="24"/>
          <w:lang w:val="en-US"/>
        </w:rPr>
        <w:t>Journal of psychosomatic research</w:t>
      </w:r>
      <w:r w:rsidRPr="00402E82">
        <w:rPr>
          <w:rFonts w:ascii="Times New Roman" w:hAnsi="Times New Roman" w:cs="Times New Roman"/>
          <w:sz w:val="24"/>
          <w:szCs w:val="24"/>
          <w:lang w:val="en-US"/>
        </w:rPr>
        <w:t>, Oxford, v. 70,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4, p. 328-334, </w:t>
      </w:r>
      <w:proofErr w:type="gramStart"/>
      <w:r w:rsidR="008F44FF" w:rsidRPr="00402E82">
        <w:rPr>
          <w:rFonts w:ascii="Times New Roman" w:hAnsi="Times New Roman" w:cs="Times New Roman"/>
          <w:sz w:val="24"/>
          <w:szCs w:val="24"/>
          <w:lang w:val="en-US"/>
        </w:rPr>
        <w:t>Apr,</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2011.</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LU, T. et al. Evidence that estrogen receptor beta enhances MMP-13 promoter activity in HIG-82 cells and that this</w:t>
      </w:r>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 xml:space="preserve">enhancement </w:t>
      </w:r>
      <w:proofErr w:type="gramStart"/>
      <w:r w:rsidRPr="00402E82">
        <w:rPr>
          <w:rFonts w:ascii="Times New Roman" w:hAnsi="Times New Roman" w:cs="Times New Roman"/>
          <w:sz w:val="24"/>
          <w:szCs w:val="24"/>
          <w:lang w:val="en-US"/>
        </w:rPr>
        <w:t>can be influenced</w:t>
      </w:r>
      <w:proofErr w:type="gramEnd"/>
      <w:r w:rsidRPr="00402E82">
        <w:rPr>
          <w:rFonts w:ascii="Times New Roman" w:hAnsi="Times New Roman" w:cs="Times New Roman"/>
          <w:sz w:val="24"/>
          <w:szCs w:val="24"/>
          <w:lang w:val="en-US"/>
        </w:rPr>
        <w:t xml:space="preserve"> by ligands and involves specific promoter</w:t>
      </w:r>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 xml:space="preserve">sites. </w:t>
      </w:r>
      <w:r w:rsidRPr="00402E82">
        <w:rPr>
          <w:rFonts w:ascii="Times New Roman" w:hAnsi="Times New Roman" w:cs="Times New Roman"/>
          <w:b/>
          <w:bCs/>
          <w:sz w:val="24"/>
          <w:szCs w:val="24"/>
          <w:lang w:val="en-US"/>
        </w:rPr>
        <w:t>Biochemistry and cell biology</w:t>
      </w:r>
      <w:r w:rsidRPr="00402E82">
        <w:rPr>
          <w:rFonts w:ascii="Times New Roman" w:hAnsi="Times New Roman" w:cs="Times New Roman"/>
          <w:bCs/>
          <w:sz w:val="24"/>
          <w:szCs w:val="24"/>
          <w:lang w:val="en-US"/>
        </w:rPr>
        <w:t>, Ottawa, v.85, n</w:t>
      </w:r>
      <w:r w:rsidR="00402E82">
        <w:rPr>
          <w:rFonts w:ascii="Times New Roman" w:hAnsi="Times New Roman" w:cs="Times New Roman"/>
          <w:bCs/>
          <w:sz w:val="24"/>
          <w:szCs w:val="24"/>
          <w:lang w:val="en-US"/>
        </w:rPr>
        <w:t>o</w:t>
      </w:r>
      <w:r w:rsidRPr="00402E82">
        <w:rPr>
          <w:rFonts w:ascii="Times New Roman" w:hAnsi="Times New Roman" w:cs="Times New Roman"/>
          <w:bCs/>
          <w:sz w:val="24"/>
          <w:szCs w:val="24"/>
          <w:lang w:val="en-US"/>
        </w:rPr>
        <w:t>.3, p.</w:t>
      </w:r>
      <w:r w:rsidRPr="00402E82">
        <w:rPr>
          <w:rFonts w:ascii="Times New Roman" w:hAnsi="Times New Roman" w:cs="Times New Roman"/>
          <w:sz w:val="24"/>
          <w:szCs w:val="24"/>
          <w:lang w:val="en-US"/>
        </w:rPr>
        <w:t xml:space="preserve">326–336, </w:t>
      </w:r>
      <w:proofErr w:type="gramStart"/>
      <w:r w:rsidR="008F44FF" w:rsidRPr="00402E82">
        <w:rPr>
          <w:rFonts w:ascii="Times New Roman" w:hAnsi="Times New Roman" w:cs="Times New Roman"/>
          <w:sz w:val="24"/>
          <w:szCs w:val="24"/>
          <w:lang w:val="en-US"/>
        </w:rPr>
        <w:t>Jun,</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2007.</w:t>
      </w:r>
    </w:p>
    <w:p w:rsidR="006B7A43" w:rsidRPr="00402E82" w:rsidRDefault="006B7A43"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lastRenderedPageBreak/>
        <w:t>MCCRACKEN, L.M. et al. Pain-related anxiety predicts non-specific physical complaints in persons with chronic pain. </w:t>
      </w:r>
      <w:proofErr w:type="spellStart"/>
      <w:r w:rsidRPr="00402E82">
        <w:rPr>
          <w:rFonts w:ascii="Times New Roman" w:hAnsi="Times New Roman" w:cs="Times New Roman"/>
          <w:b/>
          <w:sz w:val="24"/>
          <w:szCs w:val="24"/>
          <w:lang w:val="en-US"/>
        </w:rPr>
        <w:t>Behaviour</w:t>
      </w:r>
      <w:proofErr w:type="spellEnd"/>
      <w:r w:rsidRPr="00402E82">
        <w:rPr>
          <w:rFonts w:ascii="Times New Roman" w:hAnsi="Times New Roman" w:cs="Times New Roman"/>
          <w:b/>
          <w:sz w:val="24"/>
          <w:szCs w:val="24"/>
          <w:lang w:val="en-US"/>
        </w:rPr>
        <w:t xml:space="preserve"> research and therapy</w:t>
      </w:r>
      <w:r w:rsidRPr="00402E82">
        <w:rPr>
          <w:rFonts w:ascii="Times New Roman" w:hAnsi="Times New Roman" w:cs="Times New Roman"/>
          <w:sz w:val="24"/>
          <w:szCs w:val="24"/>
          <w:lang w:val="en-US"/>
        </w:rPr>
        <w:t>, Oxford, v. 36,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6, p. 621-630, </w:t>
      </w:r>
      <w:proofErr w:type="gramStart"/>
      <w:r w:rsidR="008F44FF" w:rsidRPr="00402E82">
        <w:rPr>
          <w:rFonts w:ascii="Times New Roman" w:hAnsi="Times New Roman" w:cs="Times New Roman"/>
          <w:sz w:val="24"/>
          <w:szCs w:val="24"/>
          <w:lang w:val="en-US"/>
        </w:rPr>
        <w:t>Jun,</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1998.</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da-DK"/>
        </w:rPr>
        <w:t>NANDI, A. et al. Polycystic ovary syndrome. </w:t>
      </w:r>
      <w:r w:rsidRPr="00402E82">
        <w:rPr>
          <w:rFonts w:ascii="Times New Roman" w:hAnsi="Times New Roman" w:cs="Times New Roman"/>
          <w:b/>
          <w:sz w:val="24"/>
          <w:szCs w:val="24"/>
          <w:lang w:val="en-US"/>
        </w:rPr>
        <w:t>Endocrinology and metabolism clinics of North America</w:t>
      </w:r>
      <w:r w:rsidRPr="00402E82">
        <w:rPr>
          <w:rFonts w:ascii="Times New Roman" w:hAnsi="Times New Roman" w:cs="Times New Roman"/>
          <w:sz w:val="24"/>
          <w:szCs w:val="24"/>
          <w:lang w:val="en-US"/>
        </w:rPr>
        <w:t>, Philadelphia, v. 43,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1, p. 123-147, 2014.</w:t>
      </w:r>
    </w:p>
    <w:p w:rsidR="00AC5FB3" w:rsidRPr="00402E82" w:rsidRDefault="00AC5FB3" w:rsidP="00402E82">
      <w:pPr>
        <w:spacing w:before="120" w:line="480" w:lineRule="auto"/>
        <w:ind w:left="360"/>
        <w:jc w:val="both"/>
        <w:rPr>
          <w:rFonts w:ascii="Times New Roman" w:hAnsi="Times New Roman" w:cs="Times New Roman"/>
          <w:sz w:val="24"/>
          <w:szCs w:val="24"/>
        </w:rPr>
      </w:pPr>
      <w:r w:rsidRPr="00402E82">
        <w:rPr>
          <w:rFonts w:ascii="Times New Roman" w:hAnsi="Times New Roman" w:cs="Times New Roman"/>
          <w:sz w:val="24"/>
          <w:szCs w:val="24"/>
        </w:rPr>
        <w:t xml:space="preserve">OLIVEIRA, J.A. et al. </w:t>
      </w:r>
      <w:proofErr w:type="spellStart"/>
      <w:r w:rsidRPr="00402E82">
        <w:rPr>
          <w:rFonts w:ascii="Times New Roman" w:hAnsi="Times New Roman" w:cs="Times New Roman"/>
          <w:sz w:val="24"/>
          <w:szCs w:val="24"/>
        </w:rPr>
        <w:t>Female</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hormones</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fluctuation</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and</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chewing</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movement</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of</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patients</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with</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disc</w:t>
      </w:r>
      <w:proofErr w:type="spellEnd"/>
      <w:r w:rsidRPr="00402E82">
        <w:rPr>
          <w:rFonts w:ascii="Times New Roman" w:hAnsi="Times New Roman" w:cs="Times New Roman"/>
          <w:sz w:val="24"/>
          <w:szCs w:val="24"/>
        </w:rPr>
        <w:t xml:space="preserve"> </w:t>
      </w:r>
      <w:proofErr w:type="spellStart"/>
      <w:r w:rsidRPr="00402E82">
        <w:rPr>
          <w:rFonts w:ascii="Times New Roman" w:hAnsi="Times New Roman" w:cs="Times New Roman"/>
          <w:sz w:val="24"/>
          <w:szCs w:val="24"/>
        </w:rPr>
        <w:t>displacement</w:t>
      </w:r>
      <w:proofErr w:type="spellEnd"/>
      <w:r w:rsidRPr="00402E82">
        <w:rPr>
          <w:rFonts w:ascii="Times New Roman" w:hAnsi="Times New Roman" w:cs="Times New Roman"/>
          <w:sz w:val="24"/>
          <w:szCs w:val="24"/>
        </w:rPr>
        <w:t>. </w:t>
      </w:r>
      <w:r w:rsidRPr="00402E82">
        <w:rPr>
          <w:rFonts w:ascii="Times New Roman" w:hAnsi="Times New Roman" w:cs="Times New Roman"/>
          <w:b/>
          <w:sz w:val="24"/>
          <w:szCs w:val="24"/>
        </w:rPr>
        <w:t>Revista Odonto Ciência</w:t>
      </w:r>
      <w:r w:rsidRPr="00402E82">
        <w:rPr>
          <w:rFonts w:ascii="Times New Roman" w:hAnsi="Times New Roman" w:cs="Times New Roman"/>
          <w:sz w:val="24"/>
          <w:szCs w:val="24"/>
        </w:rPr>
        <w:t>, Porto Alegre, v. 27, n. 1, p. 20-25, 2012.</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rPr>
        <w:t xml:space="preserve">OZANNE, S.E. et al. </w:t>
      </w:r>
      <w:r w:rsidRPr="00402E82">
        <w:rPr>
          <w:rFonts w:ascii="Times New Roman" w:hAnsi="Times New Roman" w:cs="Times New Roman"/>
          <w:sz w:val="24"/>
          <w:szCs w:val="24"/>
          <w:lang w:val="en-US"/>
        </w:rPr>
        <w:t xml:space="preserve">Fetal growth and adult diseases. </w:t>
      </w:r>
      <w:r w:rsidRPr="00402E82">
        <w:rPr>
          <w:rFonts w:ascii="Times New Roman" w:hAnsi="Times New Roman" w:cs="Times New Roman"/>
          <w:b/>
          <w:sz w:val="24"/>
          <w:szCs w:val="24"/>
          <w:lang w:val="en-US"/>
        </w:rPr>
        <w:t xml:space="preserve">Seminars in perinatology, </w:t>
      </w:r>
      <w:r w:rsidRPr="00402E82">
        <w:rPr>
          <w:rFonts w:ascii="Times New Roman" w:hAnsi="Times New Roman" w:cs="Times New Roman"/>
          <w:sz w:val="24"/>
          <w:szCs w:val="24"/>
          <w:lang w:val="en-US"/>
        </w:rPr>
        <w:t>New York, v.28,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.1, p.81-87, 2004.</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PAPKA, R.E. et al. Localization of estrogen receptor protein and estrogen receptor messenger RNA in peripheral autonomic and sensory neurons. </w:t>
      </w:r>
      <w:r w:rsidRPr="00402E82">
        <w:rPr>
          <w:rFonts w:ascii="Times New Roman" w:hAnsi="Times New Roman" w:cs="Times New Roman"/>
          <w:b/>
          <w:sz w:val="24"/>
          <w:szCs w:val="24"/>
          <w:lang w:val="en-US"/>
        </w:rPr>
        <w:t>Neuroscience</w:t>
      </w:r>
      <w:r w:rsidRPr="00402E82">
        <w:rPr>
          <w:rFonts w:ascii="Times New Roman" w:hAnsi="Times New Roman" w:cs="Times New Roman"/>
          <w:sz w:val="24"/>
          <w:szCs w:val="24"/>
          <w:lang w:val="en-US"/>
        </w:rPr>
        <w:t>, Oxford, v.79,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.4, p.1153–1163, </w:t>
      </w:r>
      <w:proofErr w:type="gramStart"/>
      <w:r w:rsidR="008F44FF" w:rsidRPr="00402E82">
        <w:rPr>
          <w:rFonts w:ascii="Times New Roman" w:hAnsi="Times New Roman" w:cs="Times New Roman"/>
          <w:sz w:val="24"/>
          <w:szCs w:val="24"/>
          <w:lang w:val="en-US"/>
        </w:rPr>
        <w:t>Aug,</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 xml:space="preserve">1997. </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rPr>
        <w:t xml:space="preserve">PEREIRA JÚNIOR, F.J. et al. Critérios de diagnóstico para pesquisa das disfunções </w:t>
      </w:r>
      <w:proofErr w:type="spellStart"/>
      <w:r w:rsidRPr="00402E82">
        <w:rPr>
          <w:rFonts w:ascii="Times New Roman" w:hAnsi="Times New Roman" w:cs="Times New Roman"/>
          <w:sz w:val="24"/>
          <w:szCs w:val="24"/>
        </w:rPr>
        <w:t>temporomandibulares</w:t>
      </w:r>
      <w:proofErr w:type="spellEnd"/>
      <w:r w:rsidRPr="00402E82">
        <w:rPr>
          <w:rFonts w:ascii="Times New Roman" w:hAnsi="Times New Roman" w:cs="Times New Roman"/>
          <w:sz w:val="24"/>
          <w:szCs w:val="24"/>
        </w:rPr>
        <w:t xml:space="preserve"> (RDC/ TMD). Tradução oficial para a língua portuguesa. </w:t>
      </w:r>
      <w:r w:rsidRPr="00402E82">
        <w:rPr>
          <w:rFonts w:ascii="Times New Roman" w:hAnsi="Times New Roman" w:cs="Times New Roman"/>
          <w:b/>
          <w:bCs/>
          <w:sz w:val="24"/>
          <w:szCs w:val="24"/>
        </w:rPr>
        <w:t>Jornal Brasileiro de Clínica Odontológica Integrada</w:t>
      </w:r>
      <w:r w:rsidRPr="00402E82">
        <w:rPr>
          <w:rFonts w:ascii="Times New Roman" w:hAnsi="Times New Roman" w:cs="Times New Roman"/>
          <w:sz w:val="24"/>
          <w:szCs w:val="24"/>
        </w:rPr>
        <w:t>, Curitiba, v.8, n.47, p.</w:t>
      </w:r>
      <w:r w:rsidRPr="00402E82">
        <w:rPr>
          <w:rFonts w:ascii="Times New Roman" w:hAnsi="Times New Roman" w:cs="Times New Roman"/>
          <w:sz w:val="24"/>
          <w:szCs w:val="24"/>
          <w:lang w:val="en-US"/>
        </w:rPr>
        <w:t>384-395, 2004.</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PROSKE, U. Muscle tenderness from exercise: mechanisms</w:t>
      </w:r>
      <w:proofErr w:type="gramStart"/>
      <w:r w:rsidRPr="00402E82">
        <w:rPr>
          <w:rFonts w:ascii="Times New Roman" w:hAnsi="Times New Roman" w:cs="Times New Roman"/>
          <w:sz w:val="24"/>
          <w:szCs w:val="24"/>
          <w:lang w:val="en-US"/>
        </w:rPr>
        <w:t>?.</w:t>
      </w:r>
      <w:proofErr w:type="gramEnd"/>
      <w:r w:rsidRPr="00402E82">
        <w:rPr>
          <w:rFonts w:ascii="Times New Roman" w:hAnsi="Times New Roman" w:cs="Times New Roman"/>
          <w:sz w:val="24"/>
          <w:szCs w:val="24"/>
          <w:lang w:val="en-US"/>
        </w:rPr>
        <w:t xml:space="preserve"> </w:t>
      </w:r>
      <w:r w:rsidRPr="00402E82">
        <w:rPr>
          <w:rFonts w:ascii="Times New Roman" w:hAnsi="Times New Roman" w:cs="Times New Roman"/>
          <w:b/>
          <w:sz w:val="24"/>
          <w:szCs w:val="24"/>
          <w:lang w:val="en-US"/>
        </w:rPr>
        <w:t>The Journal of physiology</w:t>
      </w:r>
      <w:r w:rsidRPr="00402E82">
        <w:rPr>
          <w:rFonts w:ascii="Times New Roman" w:hAnsi="Times New Roman" w:cs="Times New Roman"/>
          <w:sz w:val="24"/>
          <w:szCs w:val="24"/>
          <w:lang w:val="en-US"/>
        </w:rPr>
        <w:t>, v.564,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.1, p.1-1, 2005.</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RASGON, N. L. et al. Depression in women with polycystic ovary syndrome: clinical and biochemical correlates. </w:t>
      </w:r>
      <w:r w:rsidRPr="00402E82">
        <w:rPr>
          <w:rFonts w:ascii="Times New Roman" w:hAnsi="Times New Roman" w:cs="Times New Roman"/>
          <w:b/>
          <w:sz w:val="24"/>
          <w:szCs w:val="24"/>
          <w:lang w:val="en-US"/>
        </w:rPr>
        <w:t>Journal of affective disorders</w:t>
      </w:r>
      <w:r w:rsidRPr="00402E82">
        <w:rPr>
          <w:rFonts w:ascii="Times New Roman" w:hAnsi="Times New Roman" w:cs="Times New Roman"/>
          <w:sz w:val="24"/>
          <w:szCs w:val="24"/>
          <w:lang w:val="en-US"/>
        </w:rPr>
        <w:t>, Amsterdam, v. 74,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3, p. 299-304, </w:t>
      </w:r>
      <w:proofErr w:type="gramStart"/>
      <w:r w:rsidR="008F44FF" w:rsidRPr="00402E82">
        <w:rPr>
          <w:rFonts w:ascii="Times New Roman" w:hAnsi="Times New Roman" w:cs="Times New Roman"/>
          <w:sz w:val="24"/>
          <w:szCs w:val="24"/>
          <w:lang w:val="en-US"/>
        </w:rPr>
        <w:t>May,</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2003.</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rPr>
        <w:lastRenderedPageBreak/>
        <w:t xml:space="preserve">REPACI, A. et al. </w:t>
      </w:r>
      <w:r w:rsidRPr="00402E82">
        <w:rPr>
          <w:rFonts w:ascii="Times New Roman" w:hAnsi="Times New Roman" w:cs="Times New Roman"/>
          <w:sz w:val="24"/>
          <w:szCs w:val="24"/>
          <w:lang w:val="en-US"/>
        </w:rPr>
        <w:t>The role of low-grade inflammation in the polycystic ovary syndrome. </w:t>
      </w:r>
      <w:r w:rsidRPr="00402E82">
        <w:rPr>
          <w:rFonts w:ascii="Times New Roman" w:hAnsi="Times New Roman" w:cs="Times New Roman"/>
          <w:b/>
          <w:sz w:val="24"/>
          <w:szCs w:val="24"/>
          <w:lang w:val="en-US"/>
        </w:rPr>
        <w:t>Molecular and cellular endocrinology</w:t>
      </w:r>
      <w:r w:rsidRPr="00402E82">
        <w:rPr>
          <w:rFonts w:ascii="Times New Roman" w:hAnsi="Times New Roman" w:cs="Times New Roman"/>
          <w:sz w:val="24"/>
          <w:szCs w:val="24"/>
          <w:lang w:val="en-US"/>
        </w:rPr>
        <w:t>, Limerick, v. 335,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1, p. 30-41, 2011.</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SHIMONOVITZ, S. et al. Expression of </w:t>
      </w:r>
      <w:proofErr w:type="spellStart"/>
      <w:r w:rsidRPr="00402E82">
        <w:rPr>
          <w:rFonts w:ascii="Times New Roman" w:hAnsi="Times New Roman" w:cs="Times New Roman"/>
          <w:sz w:val="24"/>
          <w:szCs w:val="24"/>
          <w:lang w:val="en-US"/>
        </w:rPr>
        <w:t>gelatinase</w:t>
      </w:r>
      <w:proofErr w:type="spellEnd"/>
      <w:r w:rsidRPr="00402E82">
        <w:rPr>
          <w:rFonts w:ascii="Times New Roman" w:hAnsi="Times New Roman" w:cs="Times New Roman"/>
          <w:sz w:val="24"/>
          <w:szCs w:val="24"/>
          <w:lang w:val="en-US"/>
        </w:rPr>
        <w:t xml:space="preserve"> B by </w:t>
      </w:r>
      <w:proofErr w:type="spellStart"/>
      <w:r w:rsidRPr="00402E82">
        <w:rPr>
          <w:rFonts w:ascii="Times New Roman" w:hAnsi="Times New Roman" w:cs="Times New Roman"/>
          <w:sz w:val="24"/>
          <w:szCs w:val="24"/>
          <w:lang w:val="en-US"/>
        </w:rPr>
        <w:t>trophoblast</w:t>
      </w:r>
      <w:proofErr w:type="spellEnd"/>
      <w:r w:rsidRPr="00402E82">
        <w:rPr>
          <w:rFonts w:ascii="Times New Roman" w:hAnsi="Times New Roman" w:cs="Times New Roman"/>
          <w:sz w:val="24"/>
          <w:szCs w:val="24"/>
          <w:lang w:val="en-US"/>
        </w:rPr>
        <w:t xml:space="preserve"> cells: </w:t>
      </w:r>
      <w:proofErr w:type="spellStart"/>
      <w:r w:rsidRPr="00402E82">
        <w:rPr>
          <w:rFonts w:ascii="Times New Roman" w:hAnsi="Times New Roman" w:cs="Times New Roman"/>
          <w:sz w:val="24"/>
          <w:szCs w:val="24"/>
          <w:lang w:val="en-US"/>
        </w:rPr>
        <w:t>downregulation</w:t>
      </w:r>
      <w:proofErr w:type="spellEnd"/>
      <w:r w:rsidRPr="00402E82">
        <w:rPr>
          <w:rFonts w:ascii="Times New Roman" w:hAnsi="Times New Roman" w:cs="Times New Roman"/>
          <w:sz w:val="24"/>
          <w:szCs w:val="24"/>
          <w:lang w:val="en-US"/>
        </w:rPr>
        <w:t xml:space="preserve"> by progesterone. </w:t>
      </w:r>
      <w:r w:rsidRPr="00402E82">
        <w:rPr>
          <w:rFonts w:ascii="Times New Roman" w:hAnsi="Times New Roman" w:cs="Times New Roman"/>
          <w:b/>
          <w:bCs/>
          <w:sz w:val="24"/>
          <w:szCs w:val="24"/>
          <w:lang w:val="en-US"/>
        </w:rPr>
        <w:t>American journal of obstetrics and gynecology</w:t>
      </w:r>
      <w:r w:rsidRPr="00402E82">
        <w:rPr>
          <w:rFonts w:ascii="Times New Roman" w:hAnsi="Times New Roman" w:cs="Times New Roman"/>
          <w:bCs/>
          <w:sz w:val="24"/>
          <w:szCs w:val="24"/>
          <w:lang w:val="en-US"/>
        </w:rPr>
        <w:t>,</w:t>
      </w:r>
      <w:r w:rsidRPr="00402E82">
        <w:rPr>
          <w:rFonts w:ascii="Times New Roman" w:hAnsi="Times New Roman" w:cs="Times New Roman"/>
          <w:b/>
          <w:bCs/>
          <w:sz w:val="24"/>
          <w:szCs w:val="24"/>
          <w:lang w:val="en-US"/>
        </w:rPr>
        <w:t xml:space="preserve"> </w:t>
      </w:r>
      <w:r w:rsidRPr="00402E82">
        <w:rPr>
          <w:rFonts w:ascii="Times New Roman" w:hAnsi="Times New Roman" w:cs="Times New Roman"/>
          <w:bCs/>
          <w:sz w:val="24"/>
          <w:szCs w:val="24"/>
          <w:lang w:val="en-US"/>
        </w:rPr>
        <w:t>St. Louis,</w:t>
      </w:r>
      <w:r w:rsidRPr="00402E82">
        <w:rPr>
          <w:rFonts w:ascii="Times New Roman" w:hAnsi="Times New Roman" w:cs="Times New Roman"/>
          <w:b/>
          <w:bCs/>
          <w:sz w:val="24"/>
          <w:szCs w:val="24"/>
          <w:lang w:val="en-US"/>
        </w:rPr>
        <w:t xml:space="preserve"> </w:t>
      </w:r>
      <w:r w:rsidRPr="00402E82">
        <w:rPr>
          <w:rFonts w:ascii="Times New Roman" w:hAnsi="Times New Roman" w:cs="Times New Roman"/>
          <w:sz w:val="24"/>
          <w:szCs w:val="24"/>
          <w:lang w:val="en-US"/>
        </w:rPr>
        <w:t>v.178,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.3, p.457–461, </w:t>
      </w:r>
      <w:proofErr w:type="gramStart"/>
      <w:r w:rsidR="008F44FF" w:rsidRPr="00402E82">
        <w:rPr>
          <w:rFonts w:ascii="Times New Roman" w:hAnsi="Times New Roman" w:cs="Times New Roman"/>
          <w:sz w:val="24"/>
          <w:szCs w:val="24"/>
          <w:lang w:val="en-US"/>
        </w:rPr>
        <w:t>Mar,</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1998.</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da-DK"/>
        </w:rPr>
        <w:t xml:space="preserve">SOYDAN, S.S. et al. </w:t>
      </w:r>
      <w:r w:rsidRPr="00402E82">
        <w:rPr>
          <w:rFonts w:ascii="Times New Roman" w:hAnsi="Times New Roman" w:cs="Times New Roman"/>
          <w:sz w:val="24"/>
          <w:szCs w:val="24"/>
          <w:lang w:val="en-US"/>
        </w:rPr>
        <w:t xml:space="preserve">Is the incidence of </w:t>
      </w:r>
      <w:proofErr w:type="spellStart"/>
      <w:r w:rsidRPr="00402E82">
        <w:rPr>
          <w:rFonts w:ascii="Times New Roman" w:hAnsi="Times New Roman" w:cs="Times New Roman"/>
          <w:sz w:val="24"/>
          <w:szCs w:val="24"/>
          <w:lang w:val="en-US"/>
        </w:rPr>
        <w:t>temporomandibular</w:t>
      </w:r>
      <w:proofErr w:type="spellEnd"/>
      <w:r w:rsidRPr="00402E82">
        <w:rPr>
          <w:rFonts w:ascii="Times New Roman" w:hAnsi="Times New Roman" w:cs="Times New Roman"/>
          <w:sz w:val="24"/>
          <w:szCs w:val="24"/>
          <w:lang w:val="en-US"/>
        </w:rPr>
        <w:t xml:space="preserve"> disorder increased in polycystic ovary syndrome</w:t>
      </w:r>
      <w:proofErr w:type="gramStart"/>
      <w:r w:rsidRPr="00402E82">
        <w:rPr>
          <w:rFonts w:ascii="Times New Roman" w:hAnsi="Times New Roman" w:cs="Times New Roman"/>
          <w:sz w:val="24"/>
          <w:szCs w:val="24"/>
          <w:lang w:val="en-US"/>
        </w:rPr>
        <w:t>?.</w:t>
      </w:r>
      <w:proofErr w:type="gramEnd"/>
      <w:r w:rsidRPr="00402E82">
        <w:rPr>
          <w:rFonts w:ascii="Times New Roman" w:hAnsi="Times New Roman" w:cs="Times New Roman"/>
          <w:sz w:val="24"/>
          <w:szCs w:val="24"/>
          <w:lang w:val="en-US"/>
        </w:rPr>
        <w:t> </w:t>
      </w:r>
      <w:r w:rsidRPr="00402E82">
        <w:rPr>
          <w:rFonts w:ascii="Times New Roman" w:hAnsi="Times New Roman" w:cs="Times New Roman"/>
          <w:b/>
          <w:sz w:val="24"/>
          <w:szCs w:val="24"/>
          <w:lang w:val="en-US"/>
        </w:rPr>
        <w:t>British Journal of Oral and Maxillofacial Surgery</w:t>
      </w:r>
      <w:r w:rsidRPr="00402E82">
        <w:rPr>
          <w:rFonts w:ascii="Times New Roman" w:hAnsi="Times New Roman" w:cs="Times New Roman"/>
          <w:sz w:val="24"/>
          <w:szCs w:val="24"/>
          <w:lang w:val="en-US"/>
        </w:rPr>
        <w:t>, Edinburgh, v. 52,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9, p. 822-826, </w:t>
      </w:r>
      <w:proofErr w:type="gramStart"/>
      <w:r w:rsidR="008F44FF" w:rsidRPr="00402E82">
        <w:rPr>
          <w:rFonts w:ascii="Times New Roman" w:hAnsi="Times New Roman" w:cs="Times New Roman"/>
          <w:sz w:val="24"/>
          <w:szCs w:val="24"/>
          <w:lang w:val="en-US"/>
        </w:rPr>
        <w:t>Nov,</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2014.</w:t>
      </w:r>
    </w:p>
    <w:p w:rsidR="00EB3A3D" w:rsidRPr="004A2F49" w:rsidRDefault="00EB3A3D" w:rsidP="00402E82">
      <w:pPr>
        <w:spacing w:before="120" w:line="480" w:lineRule="auto"/>
        <w:ind w:left="360"/>
        <w:jc w:val="both"/>
        <w:rPr>
          <w:rFonts w:ascii="Times New Roman" w:hAnsi="Times New Roman" w:cs="Times New Roman"/>
          <w:sz w:val="24"/>
          <w:szCs w:val="24"/>
        </w:rPr>
      </w:pPr>
      <w:r w:rsidRPr="00DE6D90">
        <w:rPr>
          <w:rFonts w:ascii="Times New Roman" w:hAnsi="Times New Roman" w:cs="Times New Roman"/>
          <w:sz w:val="24"/>
          <w:szCs w:val="24"/>
        </w:rPr>
        <w:t>The Rotterdam ESHRE/ASRM-</w:t>
      </w:r>
      <w:proofErr w:type="spellStart"/>
      <w:r w:rsidRPr="00DE6D90">
        <w:rPr>
          <w:rFonts w:ascii="Times New Roman" w:hAnsi="Times New Roman" w:cs="Times New Roman"/>
          <w:sz w:val="24"/>
          <w:szCs w:val="24"/>
        </w:rPr>
        <w:t>sponsored</w:t>
      </w:r>
      <w:proofErr w:type="spellEnd"/>
      <w:r w:rsidRPr="00DE6D90">
        <w:rPr>
          <w:rFonts w:ascii="Times New Roman" w:hAnsi="Times New Roman" w:cs="Times New Roman"/>
          <w:sz w:val="24"/>
          <w:szCs w:val="24"/>
        </w:rPr>
        <w:t xml:space="preserve"> PCOS consensus workshop </w:t>
      </w:r>
      <w:proofErr w:type="spellStart"/>
      <w:r w:rsidRPr="00DE6D90">
        <w:rPr>
          <w:rFonts w:ascii="Times New Roman" w:hAnsi="Times New Roman" w:cs="Times New Roman"/>
          <w:sz w:val="24"/>
          <w:szCs w:val="24"/>
        </w:rPr>
        <w:t>group</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Revised</w:t>
      </w:r>
      <w:proofErr w:type="spellEnd"/>
      <w:r w:rsidRPr="00DE6D90">
        <w:rPr>
          <w:rFonts w:ascii="Times New Roman" w:hAnsi="Times New Roman" w:cs="Times New Roman"/>
          <w:sz w:val="24"/>
          <w:szCs w:val="24"/>
        </w:rPr>
        <w:t xml:space="preserve"> 2003 consensus </w:t>
      </w:r>
      <w:proofErr w:type="spellStart"/>
      <w:r w:rsidRPr="00DE6D90">
        <w:rPr>
          <w:rFonts w:ascii="Times New Roman" w:hAnsi="Times New Roman" w:cs="Times New Roman"/>
          <w:sz w:val="24"/>
          <w:szCs w:val="24"/>
        </w:rPr>
        <w:t>on</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diagnostic</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criteria</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and</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longterm</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health</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risks</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related</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to</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polycystic</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ovary</w:t>
      </w:r>
      <w:proofErr w:type="spellEnd"/>
      <w:r w:rsidRPr="00DE6D90">
        <w:rPr>
          <w:rFonts w:ascii="Times New Roman" w:hAnsi="Times New Roman" w:cs="Times New Roman"/>
          <w:sz w:val="24"/>
          <w:szCs w:val="24"/>
        </w:rPr>
        <w:t xml:space="preserve"> </w:t>
      </w:r>
      <w:proofErr w:type="spellStart"/>
      <w:r w:rsidRPr="00DE6D90">
        <w:rPr>
          <w:rFonts w:ascii="Times New Roman" w:hAnsi="Times New Roman" w:cs="Times New Roman"/>
          <w:sz w:val="24"/>
          <w:szCs w:val="24"/>
        </w:rPr>
        <w:t>syndrome</w:t>
      </w:r>
      <w:proofErr w:type="spellEnd"/>
      <w:r w:rsidRPr="00DE6D90">
        <w:rPr>
          <w:rFonts w:ascii="Times New Roman" w:hAnsi="Times New Roman" w:cs="Times New Roman"/>
          <w:sz w:val="24"/>
          <w:szCs w:val="24"/>
        </w:rPr>
        <w:t xml:space="preserve"> (PCOS). </w:t>
      </w:r>
      <w:proofErr w:type="spellStart"/>
      <w:r w:rsidRPr="004A2F49">
        <w:rPr>
          <w:rFonts w:ascii="Times New Roman" w:hAnsi="Times New Roman" w:cs="Times New Roman"/>
          <w:b/>
          <w:sz w:val="24"/>
          <w:szCs w:val="24"/>
        </w:rPr>
        <w:t>Human</w:t>
      </w:r>
      <w:proofErr w:type="spellEnd"/>
      <w:r w:rsidRPr="004A2F49">
        <w:rPr>
          <w:rFonts w:ascii="Times New Roman" w:hAnsi="Times New Roman" w:cs="Times New Roman"/>
          <w:b/>
          <w:sz w:val="24"/>
          <w:szCs w:val="24"/>
        </w:rPr>
        <w:t xml:space="preserve"> </w:t>
      </w:r>
      <w:proofErr w:type="spellStart"/>
      <w:r w:rsidRPr="004A2F49">
        <w:rPr>
          <w:rFonts w:ascii="Times New Roman" w:hAnsi="Times New Roman" w:cs="Times New Roman"/>
          <w:b/>
          <w:sz w:val="24"/>
          <w:szCs w:val="24"/>
        </w:rPr>
        <w:t>Reproduction</w:t>
      </w:r>
      <w:proofErr w:type="spellEnd"/>
      <w:r>
        <w:rPr>
          <w:rFonts w:ascii="Times New Roman" w:hAnsi="Times New Roman" w:cs="Times New Roman"/>
          <w:sz w:val="24"/>
          <w:szCs w:val="24"/>
        </w:rPr>
        <w:t>, Oxford, v</w:t>
      </w:r>
      <w:r w:rsidRPr="00DE6D90">
        <w:rPr>
          <w:rFonts w:ascii="Times New Roman" w:hAnsi="Times New Roman" w:cs="Times New Roman"/>
          <w:sz w:val="24"/>
          <w:szCs w:val="24"/>
        </w:rPr>
        <w:t xml:space="preserve">.19, </w:t>
      </w:r>
      <w:r>
        <w:rPr>
          <w:rFonts w:ascii="Times New Roman" w:hAnsi="Times New Roman" w:cs="Times New Roman"/>
          <w:sz w:val="24"/>
          <w:szCs w:val="24"/>
        </w:rPr>
        <w:t>n</w:t>
      </w:r>
      <w:r w:rsidR="00402E82">
        <w:rPr>
          <w:rFonts w:ascii="Times New Roman" w:hAnsi="Times New Roman" w:cs="Times New Roman"/>
          <w:sz w:val="24"/>
          <w:szCs w:val="24"/>
        </w:rPr>
        <w:t>o</w:t>
      </w:r>
      <w:r w:rsidRPr="00DE6D90">
        <w:rPr>
          <w:rFonts w:ascii="Times New Roman" w:hAnsi="Times New Roman" w:cs="Times New Roman"/>
          <w:sz w:val="24"/>
          <w:szCs w:val="24"/>
        </w:rPr>
        <w:t>.1</w:t>
      </w:r>
      <w:r>
        <w:rPr>
          <w:rFonts w:ascii="Times New Roman" w:hAnsi="Times New Roman" w:cs="Times New Roman"/>
          <w:sz w:val="24"/>
          <w:szCs w:val="24"/>
        </w:rPr>
        <w:t>, p.</w:t>
      </w:r>
      <w:r w:rsidRPr="00DE6D90">
        <w:rPr>
          <w:rFonts w:ascii="Times New Roman" w:hAnsi="Times New Roman" w:cs="Times New Roman"/>
          <w:sz w:val="24"/>
          <w:szCs w:val="24"/>
        </w:rPr>
        <w:t xml:space="preserve"> </w:t>
      </w:r>
      <w:r>
        <w:rPr>
          <w:rFonts w:ascii="Times New Roman" w:hAnsi="Times New Roman" w:cs="Times New Roman"/>
          <w:sz w:val="24"/>
          <w:szCs w:val="24"/>
        </w:rPr>
        <w:t>4</w:t>
      </w:r>
      <w:r w:rsidRPr="00DE6D90">
        <w:rPr>
          <w:rFonts w:ascii="Times New Roman" w:hAnsi="Times New Roman" w:cs="Times New Roman"/>
          <w:sz w:val="24"/>
          <w:szCs w:val="24"/>
        </w:rPr>
        <w:t>1</w:t>
      </w:r>
      <w:r>
        <w:rPr>
          <w:rFonts w:ascii="Times New Roman" w:hAnsi="Times New Roman" w:cs="Times New Roman"/>
          <w:sz w:val="24"/>
          <w:szCs w:val="24"/>
        </w:rPr>
        <w:t>-</w:t>
      </w:r>
      <w:r w:rsidRPr="00DE6D90">
        <w:rPr>
          <w:rFonts w:ascii="Times New Roman" w:hAnsi="Times New Roman" w:cs="Times New Roman"/>
          <w:sz w:val="24"/>
          <w:szCs w:val="24"/>
        </w:rPr>
        <w:t>47</w:t>
      </w:r>
      <w:r w:rsidRPr="004A2F49">
        <w:rPr>
          <w:rFonts w:ascii="Times New Roman" w:hAnsi="Times New Roman" w:cs="Times New Roman"/>
          <w:sz w:val="24"/>
          <w:szCs w:val="24"/>
        </w:rPr>
        <w:t>, 2004.</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WANG, J. et al. The possible role of estrogen in the incidence of </w:t>
      </w:r>
      <w:proofErr w:type="spellStart"/>
      <w:r w:rsidRPr="00402E82">
        <w:rPr>
          <w:rFonts w:ascii="Times New Roman" w:hAnsi="Times New Roman" w:cs="Times New Roman"/>
          <w:sz w:val="24"/>
          <w:szCs w:val="24"/>
          <w:lang w:val="en-US"/>
        </w:rPr>
        <w:t>temporomandibular</w:t>
      </w:r>
      <w:proofErr w:type="spellEnd"/>
      <w:r w:rsidRPr="00402E82">
        <w:rPr>
          <w:rFonts w:ascii="Times New Roman" w:hAnsi="Times New Roman" w:cs="Times New Roman"/>
          <w:sz w:val="24"/>
          <w:szCs w:val="24"/>
          <w:lang w:val="en-US"/>
        </w:rPr>
        <w:t xml:space="preserve"> disorders. </w:t>
      </w:r>
      <w:r w:rsidRPr="00402E82">
        <w:rPr>
          <w:rFonts w:ascii="Times New Roman" w:hAnsi="Times New Roman" w:cs="Times New Roman"/>
          <w:b/>
          <w:sz w:val="24"/>
          <w:szCs w:val="24"/>
          <w:lang w:val="en-US"/>
        </w:rPr>
        <w:t>Medical hypotheses</w:t>
      </w:r>
      <w:r w:rsidRPr="00402E82">
        <w:rPr>
          <w:rFonts w:ascii="Times New Roman" w:hAnsi="Times New Roman" w:cs="Times New Roman"/>
          <w:sz w:val="24"/>
          <w:szCs w:val="24"/>
          <w:lang w:val="en-US"/>
        </w:rPr>
        <w:t>, Edinburgh, v. 71,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4, p.564–567, </w:t>
      </w:r>
      <w:proofErr w:type="gramStart"/>
      <w:r w:rsidR="008F44FF" w:rsidRPr="00402E82">
        <w:rPr>
          <w:rFonts w:ascii="Times New Roman" w:hAnsi="Times New Roman" w:cs="Times New Roman"/>
          <w:sz w:val="24"/>
          <w:szCs w:val="24"/>
          <w:lang w:val="en-US"/>
        </w:rPr>
        <w:t>Oct,</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2008.</w:t>
      </w:r>
    </w:p>
    <w:p w:rsidR="00EB3A3D" w:rsidRPr="00402E82" w:rsidRDefault="00EB3A3D"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lang w:val="en-US"/>
        </w:rPr>
        <w:t xml:space="preserve">WEBER, B. et al. Testosterone, </w:t>
      </w:r>
      <w:proofErr w:type="spellStart"/>
      <w:r w:rsidRPr="00402E82">
        <w:rPr>
          <w:rFonts w:ascii="Times New Roman" w:hAnsi="Times New Roman" w:cs="Times New Roman"/>
          <w:sz w:val="24"/>
          <w:szCs w:val="24"/>
          <w:lang w:val="en-US"/>
        </w:rPr>
        <w:t>androstenedione</w:t>
      </w:r>
      <w:proofErr w:type="spellEnd"/>
      <w:r w:rsidRPr="00402E82">
        <w:rPr>
          <w:rFonts w:ascii="Times New Roman" w:hAnsi="Times New Roman" w:cs="Times New Roman"/>
          <w:sz w:val="24"/>
          <w:szCs w:val="24"/>
          <w:lang w:val="en-US"/>
        </w:rPr>
        <w:t xml:space="preserve"> and </w:t>
      </w:r>
      <w:proofErr w:type="spellStart"/>
      <w:r w:rsidRPr="00402E82">
        <w:rPr>
          <w:rFonts w:ascii="Times New Roman" w:hAnsi="Times New Roman" w:cs="Times New Roman"/>
          <w:sz w:val="24"/>
          <w:szCs w:val="24"/>
          <w:lang w:val="en-US"/>
        </w:rPr>
        <w:t>dihydrotestosterone</w:t>
      </w:r>
      <w:proofErr w:type="spellEnd"/>
      <w:r w:rsidRPr="00402E82">
        <w:rPr>
          <w:rFonts w:ascii="Times New Roman" w:hAnsi="Times New Roman" w:cs="Times New Roman"/>
          <w:sz w:val="24"/>
          <w:szCs w:val="24"/>
          <w:lang w:val="en-US"/>
        </w:rPr>
        <w:t xml:space="preserve"> concentrations are elevated in female patients with major depression. </w:t>
      </w:r>
      <w:proofErr w:type="spellStart"/>
      <w:r w:rsidRPr="00402E82">
        <w:rPr>
          <w:rFonts w:ascii="Times New Roman" w:hAnsi="Times New Roman" w:cs="Times New Roman"/>
          <w:b/>
          <w:sz w:val="24"/>
          <w:szCs w:val="24"/>
          <w:lang w:val="en-US"/>
        </w:rPr>
        <w:t>Psychoneuroendocrinology</w:t>
      </w:r>
      <w:proofErr w:type="spellEnd"/>
      <w:r w:rsidRPr="00402E82">
        <w:rPr>
          <w:rFonts w:ascii="Times New Roman" w:hAnsi="Times New Roman" w:cs="Times New Roman"/>
          <w:sz w:val="24"/>
          <w:szCs w:val="24"/>
          <w:lang w:val="en-US"/>
        </w:rPr>
        <w:t>, Oxford, v.25, n</w:t>
      </w:r>
      <w:r w:rsidR="00402E82">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.8, p. 765-771, </w:t>
      </w:r>
      <w:proofErr w:type="gramStart"/>
      <w:r w:rsidR="008F44FF" w:rsidRPr="00402E82">
        <w:rPr>
          <w:rFonts w:ascii="Times New Roman" w:hAnsi="Times New Roman" w:cs="Times New Roman"/>
          <w:sz w:val="24"/>
          <w:szCs w:val="24"/>
          <w:lang w:val="en-US"/>
        </w:rPr>
        <w:t>Nov,</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2000.</w:t>
      </w:r>
    </w:p>
    <w:p w:rsidR="00067CDE" w:rsidRPr="00402E82" w:rsidRDefault="00067CDE" w:rsidP="00402E82">
      <w:pPr>
        <w:spacing w:before="120" w:line="480" w:lineRule="auto"/>
        <w:ind w:left="360"/>
        <w:jc w:val="both"/>
        <w:rPr>
          <w:rFonts w:ascii="Times New Roman" w:hAnsi="Times New Roman" w:cs="Times New Roman"/>
          <w:sz w:val="24"/>
          <w:szCs w:val="24"/>
          <w:lang w:val="en-US"/>
        </w:rPr>
      </w:pPr>
      <w:r w:rsidRPr="00402E82">
        <w:rPr>
          <w:rFonts w:ascii="Times New Roman" w:hAnsi="Times New Roman" w:cs="Times New Roman"/>
          <w:sz w:val="24"/>
          <w:szCs w:val="24"/>
        </w:rPr>
        <w:t>WELT, C</w:t>
      </w:r>
      <w:r w:rsidR="00882152" w:rsidRPr="00402E82">
        <w:rPr>
          <w:rFonts w:ascii="Times New Roman" w:hAnsi="Times New Roman" w:cs="Times New Roman"/>
          <w:sz w:val="24"/>
          <w:szCs w:val="24"/>
        </w:rPr>
        <w:t>.</w:t>
      </w:r>
      <w:r w:rsidRPr="00402E82">
        <w:rPr>
          <w:rFonts w:ascii="Times New Roman" w:hAnsi="Times New Roman" w:cs="Times New Roman"/>
          <w:sz w:val="24"/>
          <w:szCs w:val="24"/>
        </w:rPr>
        <w:t>K.; CARMINA, E</w:t>
      </w:r>
      <w:r w:rsidR="00882152" w:rsidRPr="00402E82">
        <w:rPr>
          <w:rFonts w:ascii="Times New Roman" w:hAnsi="Times New Roman" w:cs="Times New Roman"/>
          <w:sz w:val="24"/>
          <w:szCs w:val="24"/>
        </w:rPr>
        <w:t>.</w:t>
      </w:r>
      <w:r w:rsidRPr="00402E82">
        <w:rPr>
          <w:rFonts w:ascii="Times New Roman" w:hAnsi="Times New Roman" w:cs="Times New Roman"/>
          <w:sz w:val="24"/>
          <w:szCs w:val="24"/>
        </w:rPr>
        <w:t xml:space="preserve"> </w:t>
      </w:r>
      <w:r w:rsidRPr="00402E82">
        <w:rPr>
          <w:rFonts w:ascii="Times New Roman" w:hAnsi="Times New Roman" w:cs="Times New Roman"/>
          <w:sz w:val="24"/>
          <w:szCs w:val="24"/>
          <w:lang w:val="en-US"/>
        </w:rPr>
        <w:t>Lifecycle of polycystic ovary syndrome (PCOS): from in utero to menopause. </w:t>
      </w:r>
      <w:r w:rsidRPr="00402E82">
        <w:rPr>
          <w:rFonts w:ascii="Times New Roman" w:hAnsi="Times New Roman" w:cs="Times New Roman"/>
          <w:b/>
          <w:sz w:val="24"/>
          <w:szCs w:val="24"/>
          <w:lang w:val="en-US"/>
        </w:rPr>
        <w:t>The Journal of Clinical Endocrinology &amp; Metabolism</w:t>
      </w:r>
      <w:r w:rsidRPr="00402E82">
        <w:rPr>
          <w:rFonts w:ascii="Times New Roman" w:hAnsi="Times New Roman" w:cs="Times New Roman"/>
          <w:sz w:val="24"/>
          <w:szCs w:val="24"/>
          <w:lang w:val="en-US"/>
        </w:rPr>
        <w:t>, v. 98, n</w:t>
      </w:r>
      <w:r w:rsidR="00244AE5">
        <w:rPr>
          <w:rFonts w:ascii="Times New Roman" w:hAnsi="Times New Roman" w:cs="Times New Roman"/>
          <w:sz w:val="24"/>
          <w:szCs w:val="24"/>
          <w:lang w:val="en-US"/>
        </w:rPr>
        <w:t>o</w:t>
      </w:r>
      <w:r w:rsidRPr="00402E82">
        <w:rPr>
          <w:rFonts w:ascii="Times New Roman" w:hAnsi="Times New Roman" w:cs="Times New Roman"/>
          <w:sz w:val="24"/>
          <w:szCs w:val="24"/>
          <w:lang w:val="en-US"/>
        </w:rPr>
        <w:t xml:space="preserve">. 12, p. 4629-4638, </w:t>
      </w:r>
      <w:proofErr w:type="gramStart"/>
      <w:r w:rsidR="008F44FF" w:rsidRPr="00402E82">
        <w:rPr>
          <w:rFonts w:ascii="Times New Roman" w:hAnsi="Times New Roman" w:cs="Times New Roman"/>
          <w:sz w:val="24"/>
          <w:szCs w:val="24"/>
          <w:lang w:val="en-US"/>
        </w:rPr>
        <w:t>Dec,</w:t>
      </w:r>
      <w:proofErr w:type="gramEnd"/>
      <w:r w:rsidR="008F44FF" w:rsidRPr="00402E82">
        <w:rPr>
          <w:rFonts w:ascii="Times New Roman" w:hAnsi="Times New Roman" w:cs="Times New Roman"/>
          <w:sz w:val="24"/>
          <w:szCs w:val="24"/>
          <w:lang w:val="en-US"/>
        </w:rPr>
        <w:t xml:space="preserve"> </w:t>
      </w:r>
      <w:r w:rsidRPr="00402E82">
        <w:rPr>
          <w:rFonts w:ascii="Times New Roman" w:hAnsi="Times New Roman" w:cs="Times New Roman"/>
          <w:sz w:val="24"/>
          <w:szCs w:val="24"/>
          <w:lang w:val="en-US"/>
        </w:rPr>
        <w:t>2013.</w:t>
      </w:r>
    </w:p>
    <w:sectPr w:rsidR="00067CDE" w:rsidRPr="00402E82" w:rsidSect="00DE6D90">
      <w:head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7DC" w:rsidRDefault="004247DC" w:rsidP="00DE6D90">
      <w:pPr>
        <w:spacing w:after="0" w:line="240" w:lineRule="auto"/>
      </w:pPr>
      <w:r>
        <w:separator/>
      </w:r>
    </w:p>
  </w:endnote>
  <w:endnote w:type="continuationSeparator" w:id="0">
    <w:p w:rsidR="004247DC" w:rsidRDefault="004247DC" w:rsidP="00DE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7DC" w:rsidRDefault="004247DC" w:rsidP="00DE6D90">
      <w:pPr>
        <w:spacing w:after="0" w:line="240" w:lineRule="auto"/>
      </w:pPr>
      <w:r>
        <w:separator/>
      </w:r>
    </w:p>
  </w:footnote>
  <w:footnote w:type="continuationSeparator" w:id="0">
    <w:p w:rsidR="004247DC" w:rsidRDefault="004247DC" w:rsidP="00DE6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90949"/>
      <w:docPartObj>
        <w:docPartGallery w:val="Page Numbers (Top of Page)"/>
        <w:docPartUnique/>
      </w:docPartObj>
    </w:sdtPr>
    <w:sdtEndPr/>
    <w:sdtContent>
      <w:p w:rsidR="00DE6D90" w:rsidRDefault="006E784A">
        <w:pPr>
          <w:pStyle w:val="Cabealho"/>
          <w:jc w:val="right"/>
        </w:pPr>
        <w:r>
          <w:fldChar w:fldCharType="begin"/>
        </w:r>
        <w:r w:rsidR="00DE6D90">
          <w:instrText>PAGE   \* MERGEFORMAT</w:instrText>
        </w:r>
        <w:r>
          <w:fldChar w:fldCharType="separate"/>
        </w:r>
        <w:r w:rsidR="0079091C">
          <w:rPr>
            <w:noProof/>
          </w:rPr>
          <w:t>19</w:t>
        </w:r>
        <w:r>
          <w:fldChar w:fldCharType="end"/>
        </w:r>
      </w:p>
    </w:sdtContent>
  </w:sdt>
  <w:p w:rsidR="00DE6D90" w:rsidRDefault="00DE6D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79E4"/>
    <w:multiLevelType w:val="hybridMultilevel"/>
    <w:tmpl w:val="E17A861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256A0A85"/>
    <w:multiLevelType w:val="hybridMultilevel"/>
    <w:tmpl w:val="7AAA62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3F072441"/>
    <w:multiLevelType w:val="hybridMultilevel"/>
    <w:tmpl w:val="474490B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443"/>
    <w:rsid w:val="00003E90"/>
    <w:rsid w:val="00024662"/>
    <w:rsid w:val="0002602B"/>
    <w:rsid w:val="00043E87"/>
    <w:rsid w:val="00045D3C"/>
    <w:rsid w:val="0005020F"/>
    <w:rsid w:val="000518A7"/>
    <w:rsid w:val="000537C5"/>
    <w:rsid w:val="00065B43"/>
    <w:rsid w:val="000678EC"/>
    <w:rsid w:val="00067CDE"/>
    <w:rsid w:val="00081AFB"/>
    <w:rsid w:val="00082108"/>
    <w:rsid w:val="00091602"/>
    <w:rsid w:val="000920C7"/>
    <w:rsid w:val="0009780D"/>
    <w:rsid w:val="000A4400"/>
    <w:rsid w:val="000A5077"/>
    <w:rsid w:val="000A71CF"/>
    <w:rsid w:val="000B69E8"/>
    <w:rsid w:val="000C6C3B"/>
    <w:rsid w:val="00107E12"/>
    <w:rsid w:val="00110927"/>
    <w:rsid w:val="00111712"/>
    <w:rsid w:val="00130AB4"/>
    <w:rsid w:val="001614B7"/>
    <w:rsid w:val="00167A22"/>
    <w:rsid w:val="00184301"/>
    <w:rsid w:val="001A75C1"/>
    <w:rsid w:val="001C37DF"/>
    <w:rsid w:val="001D0964"/>
    <w:rsid w:val="001D50CB"/>
    <w:rsid w:val="001D577E"/>
    <w:rsid w:val="00210566"/>
    <w:rsid w:val="00212E27"/>
    <w:rsid w:val="00223765"/>
    <w:rsid w:val="0022673B"/>
    <w:rsid w:val="00241647"/>
    <w:rsid w:val="00244AE5"/>
    <w:rsid w:val="002450E6"/>
    <w:rsid w:val="0025452E"/>
    <w:rsid w:val="002671C8"/>
    <w:rsid w:val="002721DA"/>
    <w:rsid w:val="00291CFF"/>
    <w:rsid w:val="00296A1D"/>
    <w:rsid w:val="002A7347"/>
    <w:rsid w:val="002A75FB"/>
    <w:rsid w:val="002C3EF9"/>
    <w:rsid w:val="002C7F7A"/>
    <w:rsid w:val="002D4C2C"/>
    <w:rsid w:val="002E3904"/>
    <w:rsid w:val="002F6815"/>
    <w:rsid w:val="00302F2D"/>
    <w:rsid w:val="003121C6"/>
    <w:rsid w:val="00317C49"/>
    <w:rsid w:val="00333E7A"/>
    <w:rsid w:val="00343EE4"/>
    <w:rsid w:val="00345369"/>
    <w:rsid w:val="00356C2D"/>
    <w:rsid w:val="00361341"/>
    <w:rsid w:val="00364C66"/>
    <w:rsid w:val="0037651C"/>
    <w:rsid w:val="00376B74"/>
    <w:rsid w:val="00394BE1"/>
    <w:rsid w:val="003A0185"/>
    <w:rsid w:val="003A209C"/>
    <w:rsid w:val="003A3D24"/>
    <w:rsid w:val="003B2937"/>
    <w:rsid w:val="003C44A4"/>
    <w:rsid w:val="003C50FA"/>
    <w:rsid w:val="003E76FE"/>
    <w:rsid w:val="003F0EA4"/>
    <w:rsid w:val="003F745B"/>
    <w:rsid w:val="00402E82"/>
    <w:rsid w:val="004247DC"/>
    <w:rsid w:val="00436F0C"/>
    <w:rsid w:val="00453353"/>
    <w:rsid w:val="00464F8E"/>
    <w:rsid w:val="00467D55"/>
    <w:rsid w:val="00470625"/>
    <w:rsid w:val="004718FC"/>
    <w:rsid w:val="00474A79"/>
    <w:rsid w:val="004869D3"/>
    <w:rsid w:val="0048720B"/>
    <w:rsid w:val="004A2F49"/>
    <w:rsid w:val="004A4CFC"/>
    <w:rsid w:val="004B3189"/>
    <w:rsid w:val="004B5085"/>
    <w:rsid w:val="004C0437"/>
    <w:rsid w:val="004C3AD5"/>
    <w:rsid w:val="004D21FB"/>
    <w:rsid w:val="004D5178"/>
    <w:rsid w:val="004D6E95"/>
    <w:rsid w:val="004F51B4"/>
    <w:rsid w:val="00515056"/>
    <w:rsid w:val="005152EC"/>
    <w:rsid w:val="00520605"/>
    <w:rsid w:val="00525290"/>
    <w:rsid w:val="005278A7"/>
    <w:rsid w:val="00582231"/>
    <w:rsid w:val="0059120F"/>
    <w:rsid w:val="005925D9"/>
    <w:rsid w:val="00592E57"/>
    <w:rsid w:val="005C0316"/>
    <w:rsid w:val="005D32A9"/>
    <w:rsid w:val="005E3DE2"/>
    <w:rsid w:val="005E467C"/>
    <w:rsid w:val="0061080A"/>
    <w:rsid w:val="0061438B"/>
    <w:rsid w:val="00620EF4"/>
    <w:rsid w:val="00624253"/>
    <w:rsid w:val="00634FB2"/>
    <w:rsid w:val="00635089"/>
    <w:rsid w:val="00646707"/>
    <w:rsid w:val="00664CF5"/>
    <w:rsid w:val="00665823"/>
    <w:rsid w:val="006720C9"/>
    <w:rsid w:val="00673561"/>
    <w:rsid w:val="00686F1B"/>
    <w:rsid w:val="00687143"/>
    <w:rsid w:val="006B62E7"/>
    <w:rsid w:val="006B7A43"/>
    <w:rsid w:val="006C105A"/>
    <w:rsid w:val="006C5DD6"/>
    <w:rsid w:val="006C6F42"/>
    <w:rsid w:val="006D290F"/>
    <w:rsid w:val="006E784A"/>
    <w:rsid w:val="007208B8"/>
    <w:rsid w:val="0072588E"/>
    <w:rsid w:val="0074693A"/>
    <w:rsid w:val="007509F9"/>
    <w:rsid w:val="00751101"/>
    <w:rsid w:val="007666A2"/>
    <w:rsid w:val="007671D2"/>
    <w:rsid w:val="007741DE"/>
    <w:rsid w:val="0078665A"/>
    <w:rsid w:val="0079091C"/>
    <w:rsid w:val="0079200C"/>
    <w:rsid w:val="007A0563"/>
    <w:rsid w:val="007C0D01"/>
    <w:rsid w:val="007C4688"/>
    <w:rsid w:val="007D7C08"/>
    <w:rsid w:val="007F2FF6"/>
    <w:rsid w:val="007F3C4E"/>
    <w:rsid w:val="00803CB9"/>
    <w:rsid w:val="008048EC"/>
    <w:rsid w:val="00832B7E"/>
    <w:rsid w:val="00833C93"/>
    <w:rsid w:val="008355AA"/>
    <w:rsid w:val="00847086"/>
    <w:rsid w:val="00852C3A"/>
    <w:rsid w:val="0085372A"/>
    <w:rsid w:val="00857C9C"/>
    <w:rsid w:val="00870140"/>
    <w:rsid w:val="00874DF2"/>
    <w:rsid w:val="00880262"/>
    <w:rsid w:val="00882152"/>
    <w:rsid w:val="00894C45"/>
    <w:rsid w:val="00896EFF"/>
    <w:rsid w:val="008A3039"/>
    <w:rsid w:val="008A3B7D"/>
    <w:rsid w:val="008C697D"/>
    <w:rsid w:val="008D75D2"/>
    <w:rsid w:val="008F3140"/>
    <w:rsid w:val="008F44FF"/>
    <w:rsid w:val="00930EB1"/>
    <w:rsid w:val="00932E4B"/>
    <w:rsid w:val="009608ED"/>
    <w:rsid w:val="009727D8"/>
    <w:rsid w:val="00973B38"/>
    <w:rsid w:val="009741AF"/>
    <w:rsid w:val="00974497"/>
    <w:rsid w:val="0098260C"/>
    <w:rsid w:val="00984812"/>
    <w:rsid w:val="00991F84"/>
    <w:rsid w:val="009B0BBE"/>
    <w:rsid w:val="009E0596"/>
    <w:rsid w:val="009E1C37"/>
    <w:rsid w:val="009F4A5C"/>
    <w:rsid w:val="00A16C51"/>
    <w:rsid w:val="00A35A9B"/>
    <w:rsid w:val="00A50595"/>
    <w:rsid w:val="00A54864"/>
    <w:rsid w:val="00A61C90"/>
    <w:rsid w:val="00A70206"/>
    <w:rsid w:val="00A81DF9"/>
    <w:rsid w:val="00A84EFA"/>
    <w:rsid w:val="00AC5FB3"/>
    <w:rsid w:val="00AD4C59"/>
    <w:rsid w:val="00AE1B4F"/>
    <w:rsid w:val="00AF4A6B"/>
    <w:rsid w:val="00AF5E16"/>
    <w:rsid w:val="00B11F45"/>
    <w:rsid w:val="00B21BC4"/>
    <w:rsid w:val="00B30AB9"/>
    <w:rsid w:val="00B33784"/>
    <w:rsid w:val="00B3515F"/>
    <w:rsid w:val="00B43BD3"/>
    <w:rsid w:val="00B507D6"/>
    <w:rsid w:val="00B5670B"/>
    <w:rsid w:val="00B56B46"/>
    <w:rsid w:val="00B6717C"/>
    <w:rsid w:val="00B819BB"/>
    <w:rsid w:val="00B93BFA"/>
    <w:rsid w:val="00BA3B41"/>
    <w:rsid w:val="00BC6561"/>
    <w:rsid w:val="00BC7B80"/>
    <w:rsid w:val="00BE5606"/>
    <w:rsid w:val="00C06839"/>
    <w:rsid w:val="00C15B36"/>
    <w:rsid w:val="00C1718A"/>
    <w:rsid w:val="00C21118"/>
    <w:rsid w:val="00C22243"/>
    <w:rsid w:val="00C23515"/>
    <w:rsid w:val="00C43826"/>
    <w:rsid w:val="00C54C83"/>
    <w:rsid w:val="00C76A95"/>
    <w:rsid w:val="00CA2567"/>
    <w:rsid w:val="00CC1217"/>
    <w:rsid w:val="00CC3A74"/>
    <w:rsid w:val="00CD29D7"/>
    <w:rsid w:val="00D041AF"/>
    <w:rsid w:val="00D1033C"/>
    <w:rsid w:val="00D15216"/>
    <w:rsid w:val="00D15443"/>
    <w:rsid w:val="00D329A9"/>
    <w:rsid w:val="00D332AA"/>
    <w:rsid w:val="00D35E14"/>
    <w:rsid w:val="00D54229"/>
    <w:rsid w:val="00D630D6"/>
    <w:rsid w:val="00D6493B"/>
    <w:rsid w:val="00D65B05"/>
    <w:rsid w:val="00D944D0"/>
    <w:rsid w:val="00DA0B1A"/>
    <w:rsid w:val="00DA2649"/>
    <w:rsid w:val="00DA6876"/>
    <w:rsid w:val="00DB3059"/>
    <w:rsid w:val="00DD640F"/>
    <w:rsid w:val="00DE0133"/>
    <w:rsid w:val="00DE3A0B"/>
    <w:rsid w:val="00DE3A48"/>
    <w:rsid w:val="00DE5D65"/>
    <w:rsid w:val="00DE6D90"/>
    <w:rsid w:val="00DE7891"/>
    <w:rsid w:val="00DF4AE3"/>
    <w:rsid w:val="00E02653"/>
    <w:rsid w:val="00E311E9"/>
    <w:rsid w:val="00E34CBD"/>
    <w:rsid w:val="00E35CBF"/>
    <w:rsid w:val="00E4637D"/>
    <w:rsid w:val="00E71B99"/>
    <w:rsid w:val="00E75F0E"/>
    <w:rsid w:val="00E9728F"/>
    <w:rsid w:val="00EA3C25"/>
    <w:rsid w:val="00EB2275"/>
    <w:rsid w:val="00EB3A3D"/>
    <w:rsid w:val="00EC3B37"/>
    <w:rsid w:val="00ED6043"/>
    <w:rsid w:val="00EE7F1A"/>
    <w:rsid w:val="00F03E86"/>
    <w:rsid w:val="00F151A3"/>
    <w:rsid w:val="00F20C1D"/>
    <w:rsid w:val="00F23140"/>
    <w:rsid w:val="00F42090"/>
    <w:rsid w:val="00F429FC"/>
    <w:rsid w:val="00F42ADE"/>
    <w:rsid w:val="00F56E7B"/>
    <w:rsid w:val="00F57BE1"/>
    <w:rsid w:val="00F652D6"/>
    <w:rsid w:val="00F655D3"/>
    <w:rsid w:val="00F70092"/>
    <w:rsid w:val="00F72289"/>
    <w:rsid w:val="00F75719"/>
    <w:rsid w:val="00F76B9D"/>
    <w:rsid w:val="00F80898"/>
    <w:rsid w:val="00F8389E"/>
    <w:rsid w:val="00FA2F75"/>
    <w:rsid w:val="00FA5B9C"/>
    <w:rsid w:val="00FA6073"/>
    <w:rsid w:val="00FA6ED3"/>
    <w:rsid w:val="00FC4B82"/>
    <w:rsid w:val="00FC518E"/>
    <w:rsid w:val="00FD2318"/>
    <w:rsid w:val="00FE330D"/>
    <w:rsid w:val="00FE49FA"/>
    <w:rsid w:val="00FF04DF"/>
    <w:rsid w:val="00FF202D"/>
    <w:rsid w:val="00FF7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BFB1B5-16A5-4990-804F-09595DFA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443"/>
    <w:pPr>
      <w:spacing w:after="200" w:line="276" w:lineRule="auto"/>
    </w:pPr>
    <w:rPr>
      <w:rFonts w:cs="Calibri"/>
      <w:lang w:eastAsia="en-US"/>
    </w:rPr>
  </w:style>
  <w:style w:type="paragraph" w:styleId="Ttulo1">
    <w:name w:val="heading 1"/>
    <w:basedOn w:val="Normal"/>
    <w:next w:val="Normal"/>
    <w:link w:val="Ttulo1Char"/>
    <w:uiPriority w:val="99"/>
    <w:qFormat/>
    <w:rsid w:val="00520605"/>
    <w:pPr>
      <w:keepNext/>
      <w:keepLines/>
      <w:spacing w:before="240" w:after="0"/>
      <w:outlineLvl w:val="0"/>
    </w:pPr>
    <w:rPr>
      <w:rFonts w:ascii="Calibri Light" w:eastAsia="Times New Roman" w:hAnsi="Calibri Light" w:cs="Calibri Light"/>
      <w:color w:val="2E74B5"/>
      <w:sz w:val="32"/>
      <w:szCs w:val="32"/>
    </w:rPr>
  </w:style>
  <w:style w:type="paragraph" w:styleId="Ttulo2">
    <w:name w:val="heading 2"/>
    <w:basedOn w:val="Normal"/>
    <w:next w:val="Normal"/>
    <w:link w:val="Ttulo2Char"/>
    <w:uiPriority w:val="99"/>
    <w:qFormat/>
    <w:rsid w:val="00D15443"/>
    <w:pPr>
      <w:keepNext/>
      <w:keepLines/>
      <w:spacing w:before="200" w:after="0"/>
      <w:outlineLvl w:val="1"/>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20605"/>
    <w:rPr>
      <w:rFonts w:ascii="Calibri Light" w:hAnsi="Calibri Light" w:cs="Calibri Light"/>
      <w:color w:val="2E74B5"/>
      <w:sz w:val="32"/>
      <w:szCs w:val="32"/>
    </w:rPr>
  </w:style>
  <w:style w:type="character" w:customStyle="1" w:styleId="Ttulo2Char">
    <w:name w:val="Título 2 Char"/>
    <w:basedOn w:val="Fontepargpadro"/>
    <w:link w:val="Ttulo2"/>
    <w:uiPriority w:val="99"/>
    <w:locked/>
    <w:rsid w:val="00D15443"/>
    <w:rPr>
      <w:rFonts w:ascii="Arial" w:hAnsi="Arial" w:cs="Arial"/>
      <w:sz w:val="26"/>
      <w:szCs w:val="26"/>
    </w:rPr>
  </w:style>
  <w:style w:type="character" w:styleId="Hyperlink">
    <w:name w:val="Hyperlink"/>
    <w:basedOn w:val="Fontepargpadro"/>
    <w:uiPriority w:val="99"/>
    <w:rsid w:val="00D15443"/>
    <w:rPr>
      <w:color w:val="0000FF"/>
      <w:u w:val="single"/>
    </w:rPr>
  </w:style>
  <w:style w:type="paragraph" w:customStyle="1" w:styleId="Default">
    <w:name w:val="Default"/>
    <w:uiPriority w:val="99"/>
    <w:rsid w:val="00D15443"/>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Fontepargpadro"/>
    <w:rsid w:val="00E75F0E"/>
  </w:style>
  <w:style w:type="character" w:customStyle="1" w:styleId="A3">
    <w:name w:val="A3"/>
    <w:uiPriority w:val="99"/>
    <w:rsid w:val="003E76FE"/>
    <w:rPr>
      <w:color w:val="000000"/>
      <w:sz w:val="10"/>
      <w:szCs w:val="10"/>
    </w:rPr>
  </w:style>
  <w:style w:type="character" w:customStyle="1" w:styleId="A11">
    <w:name w:val="A11"/>
    <w:uiPriority w:val="99"/>
    <w:rsid w:val="003E76FE"/>
    <w:rPr>
      <w:color w:val="000000"/>
      <w:sz w:val="11"/>
      <w:szCs w:val="11"/>
    </w:rPr>
  </w:style>
  <w:style w:type="character" w:customStyle="1" w:styleId="A12">
    <w:name w:val="A12"/>
    <w:uiPriority w:val="99"/>
    <w:rsid w:val="005152EC"/>
    <w:rPr>
      <w:color w:val="000000"/>
      <w:sz w:val="13"/>
      <w:szCs w:val="13"/>
    </w:rPr>
  </w:style>
  <w:style w:type="paragraph" w:styleId="PargrafodaLista">
    <w:name w:val="List Paragraph"/>
    <w:basedOn w:val="Normal"/>
    <w:uiPriority w:val="99"/>
    <w:qFormat/>
    <w:rsid w:val="002450E6"/>
    <w:pPr>
      <w:ind w:left="720"/>
    </w:pPr>
    <w:rPr>
      <w:rFonts w:eastAsia="Times New Roman"/>
      <w:lang w:eastAsia="pt-BR"/>
    </w:rPr>
  </w:style>
  <w:style w:type="paragraph" w:styleId="NormalWeb">
    <w:name w:val="Normal (Web)"/>
    <w:basedOn w:val="Normal"/>
    <w:uiPriority w:val="99"/>
    <w:semiHidden/>
    <w:rsid w:val="00F151A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SombreamentoClaro">
    <w:name w:val="Light Shading"/>
    <w:basedOn w:val="Tabelanormal"/>
    <w:uiPriority w:val="99"/>
    <w:rsid w:val="008355AA"/>
    <w:rPr>
      <w:rFonts w:cs="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ef-title">
    <w:name w:val="ref-title"/>
    <w:basedOn w:val="Fontepargpadro"/>
    <w:uiPriority w:val="99"/>
    <w:rsid w:val="00241647"/>
  </w:style>
  <w:style w:type="character" w:customStyle="1" w:styleId="ref-journal">
    <w:name w:val="ref-journal"/>
    <w:basedOn w:val="Fontepargpadro"/>
    <w:uiPriority w:val="99"/>
    <w:rsid w:val="00241647"/>
  </w:style>
  <w:style w:type="character" w:customStyle="1" w:styleId="ref-vol">
    <w:name w:val="ref-vol"/>
    <w:basedOn w:val="Fontepargpadro"/>
    <w:uiPriority w:val="99"/>
    <w:rsid w:val="00241647"/>
  </w:style>
  <w:style w:type="character" w:styleId="Refdecomentrio">
    <w:name w:val="annotation reference"/>
    <w:basedOn w:val="Fontepargpadro"/>
    <w:uiPriority w:val="99"/>
    <w:semiHidden/>
    <w:rsid w:val="000C6C3B"/>
    <w:rPr>
      <w:sz w:val="16"/>
      <w:szCs w:val="16"/>
    </w:rPr>
  </w:style>
  <w:style w:type="paragraph" w:styleId="Textodecomentrio">
    <w:name w:val="annotation text"/>
    <w:basedOn w:val="Normal"/>
    <w:link w:val="TextodecomentrioChar"/>
    <w:uiPriority w:val="99"/>
    <w:semiHidden/>
    <w:rsid w:val="000C6C3B"/>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0C6C3B"/>
    <w:rPr>
      <w:rFonts w:ascii="Calibri" w:eastAsia="Times New Roman" w:hAnsi="Calibri" w:cs="Calibri"/>
      <w:sz w:val="20"/>
      <w:szCs w:val="20"/>
    </w:rPr>
  </w:style>
  <w:style w:type="paragraph" w:styleId="Assuntodocomentrio">
    <w:name w:val="annotation subject"/>
    <w:basedOn w:val="Textodecomentrio"/>
    <w:next w:val="Textodecomentrio"/>
    <w:link w:val="AssuntodocomentrioChar"/>
    <w:uiPriority w:val="99"/>
    <w:semiHidden/>
    <w:rsid w:val="000C6C3B"/>
    <w:rPr>
      <w:b/>
      <w:bCs/>
    </w:rPr>
  </w:style>
  <w:style w:type="character" w:customStyle="1" w:styleId="AssuntodocomentrioChar">
    <w:name w:val="Assunto do comentário Char"/>
    <w:basedOn w:val="TextodecomentrioChar"/>
    <w:link w:val="Assuntodocomentrio"/>
    <w:uiPriority w:val="99"/>
    <w:semiHidden/>
    <w:locked/>
    <w:rsid w:val="000C6C3B"/>
    <w:rPr>
      <w:rFonts w:ascii="Calibri" w:eastAsia="Times New Roman" w:hAnsi="Calibri" w:cs="Calibri"/>
      <w:b/>
      <w:bCs/>
      <w:sz w:val="20"/>
      <w:szCs w:val="20"/>
    </w:rPr>
  </w:style>
  <w:style w:type="paragraph" w:styleId="Textodebalo">
    <w:name w:val="Balloon Text"/>
    <w:basedOn w:val="Normal"/>
    <w:link w:val="TextodebaloChar"/>
    <w:uiPriority w:val="99"/>
    <w:semiHidden/>
    <w:rsid w:val="000C6C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0C6C3B"/>
    <w:rPr>
      <w:rFonts w:ascii="Tahoma" w:eastAsia="Times New Roman" w:hAnsi="Tahoma" w:cs="Tahoma"/>
      <w:sz w:val="16"/>
      <w:szCs w:val="16"/>
    </w:rPr>
  </w:style>
  <w:style w:type="paragraph" w:styleId="Cabealho">
    <w:name w:val="header"/>
    <w:basedOn w:val="Normal"/>
    <w:link w:val="CabealhoChar"/>
    <w:uiPriority w:val="99"/>
    <w:unhideWhenUsed/>
    <w:rsid w:val="00DE6D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6D90"/>
    <w:rPr>
      <w:rFonts w:cs="Calibri"/>
      <w:lang w:eastAsia="en-US"/>
    </w:rPr>
  </w:style>
  <w:style w:type="paragraph" w:styleId="Rodap">
    <w:name w:val="footer"/>
    <w:basedOn w:val="Normal"/>
    <w:link w:val="RodapChar"/>
    <w:uiPriority w:val="99"/>
    <w:unhideWhenUsed/>
    <w:rsid w:val="00DE6D90"/>
    <w:pPr>
      <w:tabs>
        <w:tab w:val="center" w:pos="4252"/>
        <w:tab w:val="right" w:pos="8504"/>
      </w:tabs>
      <w:spacing w:after="0" w:line="240" w:lineRule="auto"/>
    </w:pPr>
  </w:style>
  <w:style w:type="character" w:customStyle="1" w:styleId="RodapChar">
    <w:name w:val="Rodapé Char"/>
    <w:basedOn w:val="Fontepargpadro"/>
    <w:link w:val="Rodap"/>
    <w:uiPriority w:val="99"/>
    <w:rsid w:val="00DE6D90"/>
    <w:rPr>
      <w:rFonts w:cs="Calibri"/>
      <w:lang w:eastAsia="en-US"/>
    </w:rPr>
  </w:style>
  <w:style w:type="character" w:styleId="Forte">
    <w:name w:val="Strong"/>
    <w:basedOn w:val="Fontepargpadro"/>
    <w:uiPriority w:val="22"/>
    <w:qFormat/>
    <w:locked/>
    <w:rsid w:val="00F6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91121">
      <w:marLeft w:val="0"/>
      <w:marRight w:val="0"/>
      <w:marTop w:val="0"/>
      <w:marBottom w:val="0"/>
      <w:divBdr>
        <w:top w:val="none" w:sz="0" w:space="0" w:color="auto"/>
        <w:left w:val="none" w:sz="0" w:space="0" w:color="auto"/>
        <w:bottom w:val="none" w:sz="0" w:space="0" w:color="auto"/>
        <w:right w:val="none" w:sz="0" w:space="0" w:color="auto"/>
      </w:divBdr>
    </w:div>
    <w:div w:id="1765691122">
      <w:marLeft w:val="0"/>
      <w:marRight w:val="0"/>
      <w:marTop w:val="0"/>
      <w:marBottom w:val="0"/>
      <w:divBdr>
        <w:top w:val="none" w:sz="0" w:space="0" w:color="auto"/>
        <w:left w:val="none" w:sz="0" w:space="0" w:color="auto"/>
        <w:bottom w:val="none" w:sz="0" w:space="0" w:color="auto"/>
        <w:right w:val="none" w:sz="0" w:space="0" w:color="auto"/>
      </w:divBdr>
    </w:div>
    <w:div w:id="1765691123">
      <w:marLeft w:val="0"/>
      <w:marRight w:val="0"/>
      <w:marTop w:val="0"/>
      <w:marBottom w:val="0"/>
      <w:divBdr>
        <w:top w:val="none" w:sz="0" w:space="0" w:color="auto"/>
        <w:left w:val="none" w:sz="0" w:space="0" w:color="auto"/>
        <w:bottom w:val="none" w:sz="0" w:space="0" w:color="auto"/>
        <w:right w:val="none" w:sz="0" w:space="0" w:color="auto"/>
      </w:divBdr>
    </w:div>
    <w:div w:id="1765691124">
      <w:marLeft w:val="0"/>
      <w:marRight w:val="0"/>
      <w:marTop w:val="0"/>
      <w:marBottom w:val="0"/>
      <w:divBdr>
        <w:top w:val="none" w:sz="0" w:space="0" w:color="auto"/>
        <w:left w:val="none" w:sz="0" w:space="0" w:color="auto"/>
        <w:bottom w:val="none" w:sz="0" w:space="0" w:color="auto"/>
        <w:right w:val="none" w:sz="0" w:space="0" w:color="auto"/>
      </w:divBdr>
    </w:div>
    <w:div w:id="1765691125">
      <w:marLeft w:val="0"/>
      <w:marRight w:val="0"/>
      <w:marTop w:val="0"/>
      <w:marBottom w:val="0"/>
      <w:divBdr>
        <w:top w:val="none" w:sz="0" w:space="0" w:color="auto"/>
        <w:left w:val="none" w:sz="0" w:space="0" w:color="auto"/>
        <w:bottom w:val="none" w:sz="0" w:space="0" w:color="auto"/>
        <w:right w:val="none" w:sz="0" w:space="0" w:color="auto"/>
      </w:divBdr>
    </w:div>
    <w:div w:id="1765691126">
      <w:marLeft w:val="0"/>
      <w:marRight w:val="0"/>
      <w:marTop w:val="0"/>
      <w:marBottom w:val="0"/>
      <w:divBdr>
        <w:top w:val="none" w:sz="0" w:space="0" w:color="auto"/>
        <w:left w:val="none" w:sz="0" w:space="0" w:color="auto"/>
        <w:bottom w:val="none" w:sz="0" w:space="0" w:color="auto"/>
        <w:right w:val="none" w:sz="0" w:space="0" w:color="auto"/>
      </w:divBdr>
    </w:div>
    <w:div w:id="1765691127">
      <w:marLeft w:val="0"/>
      <w:marRight w:val="0"/>
      <w:marTop w:val="0"/>
      <w:marBottom w:val="0"/>
      <w:divBdr>
        <w:top w:val="none" w:sz="0" w:space="0" w:color="auto"/>
        <w:left w:val="none" w:sz="0" w:space="0" w:color="auto"/>
        <w:bottom w:val="none" w:sz="0" w:space="0" w:color="auto"/>
        <w:right w:val="none" w:sz="0" w:space="0" w:color="auto"/>
      </w:divBdr>
    </w:div>
    <w:div w:id="1765691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4478</Words>
  <Characters>24186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AVALIAÇÃO DA ASSOCIAÇÃO ENTRE A SÍNDROME DO OVÁRIO POLICÍSTICO, DESORDENS TEMPOROMANDIBULARES E FATORES PSICOSSOCIAIS EM MULHERES</vt:lpstr>
    </vt:vector>
  </TitlesOfParts>
  <Company>Windows XP</Company>
  <LinksUpToDate>false</LinksUpToDate>
  <CharactersWithSpaces>28607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AVALIAÇÃO DA ASSOCIAÇÃO ENTRE A SÍNDROME DO OVÁRIO POLICÍSTICO, DESORDENS TEMPOROMANDIBULARES E FATORES PSICOSSOCIAIS EM MULHERES</dc:title>
  <dc:creator>Letícia Bonato</dc:creator>
  <cp:lastModifiedBy>Letícia Bonato</cp:lastModifiedBy>
  <cp:revision>3</cp:revision>
  <dcterms:created xsi:type="dcterms:W3CDTF">2016-06-07T12:58:00Z</dcterms:created>
  <dcterms:modified xsi:type="dcterms:W3CDTF">2016-06-07T12:58:00Z</dcterms:modified>
</cp:coreProperties>
</file>