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recordatórios 24 horas. Os idosos apresentaram valores percentuais dentro do adequado para lipídios totais 67,6%, gordura poliinsaturada 15,6%, gordura </w:t>
      </w:r>
      <w:r w:rsidR="007A09CF" w:rsidRPr="00C173F6">
        <w:rPr>
          <w:rFonts w:ascii="Times New Roman" w:hAnsi="Times New Roman"/>
          <w:sz w:val="24"/>
          <w:szCs w:val="24"/>
        </w:rPr>
        <w:t>monoinsaturada</w:t>
      </w:r>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5B0096">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C40AB4">
        <w:rPr>
          <w:rFonts w:ascii="Times New Roman" w:hAnsi="Times New Roman"/>
          <w:sz w:val="24"/>
          <w:szCs w:val="24"/>
        </w:rPr>
        <w:t xml:space="preserve">. </w:t>
      </w:r>
      <w:r w:rsidR="00EA1376">
        <w:rPr>
          <w:rFonts w:ascii="Times New Roman" w:hAnsi="Times New Roman"/>
          <w:sz w:val="24"/>
          <w:szCs w:val="24"/>
        </w:rPr>
        <w:t>Estado nutricional.</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00E02DB8">
        <w:rPr>
          <w:rFonts w:ascii="Times New Roman" w:hAnsi="Times New Roman"/>
          <w:sz w:val="24"/>
          <w:szCs w:val="24"/>
        </w:rPr>
        <w:t>de forma acelerada</w:t>
      </w:r>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A1409D" w:rsidRDefault="007254A4" w:rsidP="00A1409D">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crônico-degenerativas e de causas externas, além da predominância da morbidade em relação à mortalidade (</w:t>
      </w:r>
      <w:r w:rsidR="00EA666B" w:rsidRPr="00C173F6">
        <w:rPr>
          <w:rFonts w:ascii="Times New Roman" w:eastAsia="Times New Roman" w:hAnsi="Times New Roman"/>
          <w:sz w:val="24"/>
          <w:szCs w:val="24"/>
        </w:rPr>
        <w:t xml:space="preserve">BUENO </w:t>
      </w:r>
      <w:r w:rsidR="005B0096" w:rsidRPr="005B0096">
        <w:rPr>
          <w:rFonts w:ascii="Times New Roman" w:eastAsia="Times New Roman" w:hAnsi="Times New Roman"/>
          <w:sz w:val="24"/>
          <w:szCs w:val="24"/>
          <w:highlight w:val="yellow"/>
        </w:rPr>
        <w:t>et al</w:t>
      </w:r>
      <w:r w:rsidR="00EA666B" w:rsidRPr="00A1409D">
        <w:rPr>
          <w:rFonts w:ascii="Times New Roman" w:eastAsia="Times New Roman" w:hAnsi="Times New Roman"/>
          <w:i/>
          <w:sz w:val="24"/>
          <w:szCs w:val="24"/>
          <w:highlight w:val="yellow"/>
        </w:rPr>
        <w:t>.,</w:t>
      </w:r>
      <w:r w:rsidR="00EA666B" w:rsidRPr="00C173F6">
        <w:rPr>
          <w:rFonts w:ascii="Times New Roman" w:eastAsia="Times New Roman" w:hAnsi="Times New Roman"/>
          <w:sz w:val="24"/>
          <w:szCs w:val="24"/>
        </w:rPr>
        <w:t xml:space="preserve"> 2008</w:t>
      </w:r>
      <w:r w:rsidR="00EA666B">
        <w:rPr>
          <w:rFonts w:ascii="Times New Roman" w:eastAsia="Times New Roman" w:hAnsi="Times New Roman"/>
          <w:sz w:val="24"/>
          <w:szCs w:val="24"/>
        </w:rPr>
        <w:t xml:space="preserve">; </w:t>
      </w:r>
      <w:r w:rsidR="00063FB5">
        <w:rPr>
          <w:rFonts w:ascii="Times New Roman" w:hAnsi="Times New Roman"/>
          <w:sz w:val="24"/>
          <w:szCs w:val="24"/>
        </w:rPr>
        <w:t xml:space="preserve">MARTINS </w:t>
      </w:r>
      <w:r w:rsidR="005B0096" w:rsidRPr="005B0096">
        <w:rPr>
          <w:rFonts w:ascii="Times New Roman" w:hAnsi="Times New Roman"/>
          <w:sz w:val="24"/>
          <w:szCs w:val="24"/>
          <w:highlight w:val="yellow"/>
        </w:rPr>
        <w:t>et al</w:t>
      </w:r>
      <w:r w:rsidR="00063FB5">
        <w:rPr>
          <w:rFonts w:ascii="Times New Roman" w:hAnsi="Times New Roman"/>
          <w:sz w:val="24"/>
          <w:szCs w:val="24"/>
        </w:rPr>
        <w:t>., 2015;</w:t>
      </w:r>
      <w:r w:rsidRPr="00C173F6">
        <w:rPr>
          <w:rFonts w:ascii="Times New Roman" w:eastAsia="Times New Roman" w:hAnsi="Times New Roman"/>
          <w:sz w:val="24"/>
          <w:szCs w:val="24"/>
        </w:rPr>
        <w:t xml:space="preserve"> SCHRAMM </w:t>
      </w:r>
      <w:r w:rsidR="005B0096" w:rsidRPr="005B0096">
        <w:rPr>
          <w:rFonts w:ascii="Times New Roman" w:eastAsia="Times New Roman" w:hAnsi="Times New Roman"/>
          <w:sz w:val="24"/>
          <w:szCs w:val="24"/>
          <w:highlight w:val="yellow"/>
        </w:rPr>
        <w:t>et al</w:t>
      </w:r>
      <w:r w:rsidRPr="00C173F6">
        <w:rPr>
          <w:rFonts w:ascii="Times New Roman" w:eastAsia="Times New Roman" w:hAnsi="Times New Roman"/>
          <w:i/>
          <w:sz w:val="24"/>
          <w:szCs w:val="24"/>
        </w:rPr>
        <w:t>.,</w:t>
      </w:r>
      <w:r w:rsidRPr="00C173F6">
        <w:rPr>
          <w:rFonts w:ascii="Times New Roman" w:eastAsia="Times New Roman" w:hAnsi="Times New Roman"/>
          <w:sz w:val="24"/>
          <w:szCs w:val="24"/>
        </w:rPr>
        <w:t xml:space="preserve"> 2004).</w:t>
      </w:r>
      <w:r w:rsidR="00A1409D">
        <w:rPr>
          <w:rFonts w:ascii="Times New Roman" w:eastAsia="Times New Roman" w:hAnsi="Times New Roman"/>
          <w:sz w:val="24"/>
          <w:szCs w:val="24"/>
        </w:rPr>
        <w:t xml:space="preserve"> </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r w:rsidR="005B0096" w:rsidRPr="005B0096">
        <w:rPr>
          <w:rFonts w:ascii="Times New Roman" w:hAnsi="Times New Roman"/>
          <w:sz w:val="24"/>
          <w:szCs w:val="24"/>
        </w:rPr>
        <w:t>et al</w:t>
      </w:r>
      <w:r w:rsidR="00EA1376" w:rsidRPr="00C173F6">
        <w:rPr>
          <w:rFonts w:ascii="Times New Roman" w:hAnsi="Times New Roman"/>
          <w:i/>
          <w:sz w:val="24"/>
          <w:szCs w:val="24"/>
        </w:rPr>
        <w:t>.,</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B0096" w:rsidRPr="005B0096">
        <w:rPr>
          <w:rFonts w:ascii="Times New Roman" w:hAnsi="Times New Roman"/>
          <w:sz w:val="24"/>
          <w:szCs w:val="24"/>
        </w:rPr>
        <w:t>et al</w:t>
      </w:r>
      <w:r w:rsidR="005F675F" w:rsidRPr="00C173F6">
        <w:rPr>
          <w:rFonts w:ascii="Times New Roman" w:hAnsi="Times New Roman"/>
          <w:i/>
          <w:sz w:val="24"/>
          <w:szCs w:val="24"/>
        </w:rPr>
        <w:t>.,</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2011; RAUEN </w:t>
      </w:r>
      <w:r w:rsidR="005B0096" w:rsidRPr="005B0096">
        <w:rPr>
          <w:rFonts w:ascii="Times New Roman" w:hAnsi="Times New Roman"/>
          <w:sz w:val="24"/>
          <w:szCs w:val="24"/>
        </w:rPr>
        <w:t>et al</w:t>
      </w:r>
      <w:r w:rsidRPr="00C173F6">
        <w:rPr>
          <w:rFonts w:ascii="Times New Roman" w:hAnsi="Times New Roman"/>
          <w:i/>
          <w:sz w:val="24"/>
          <w:szCs w:val="24"/>
        </w:rPr>
        <w:t>.,</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r w:rsidR="005B0096" w:rsidRPr="005B0096">
        <w:rPr>
          <w:rFonts w:ascii="Times New Roman" w:eastAsia="Times New Roman" w:hAnsi="Times New Roman"/>
          <w:sz w:val="24"/>
          <w:szCs w:val="24"/>
        </w:rPr>
        <w:t>et al</w:t>
      </w:r>
      <w:r w:rsidRPr="00C173F6">
        <w:rPr>
          <w:rFonts w:ascii="Times New Roman" w:eastAsia="Times New Roman" w:hAnsi="Times New Roman"/>
          <w:i/>
          <w:sz w:val="24"/>
          <w:szCs w:val="24"/>
        </w:rPr>
        <w:t>.,</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r w:rsidR="005B0096" w:rsidRPr="005B0096">
        <w:rPr>
          <w:rFonts w:ascii="Times New Roman" w:hAnsi="Times New Roman"/>
          <w:sz w:val="24"/>
          <w:szCs w:val="24"/>
        </w:rPr>
        <w:t>et al</w:t>
      </w:r>
      <w:r w:rsidRPr="00C173F6">
        <w:rPr>
          <w:rFonts w:ascii="Times New Roman" w:hAnsi="Times New Roman"/>
          <w:i/>
          <w:sz w:val="24"/>
          <w:szCs w:val="24"/>
        </w:rPr>
        <w:t xml:space="preserve">., </w:t>
      </w:r>
      <w:r w:rsidR="00E02DB8">
        <w:rPr>
          <w:rFonts w:ascii="Times New Roman" w:hAnsi="Times New Roman"/>
          <w:sz w:val="24"/>
          <w:szCs w:val="24"/>
        </w:rPr>
        <w:t>2012)</w:t>
      </w:r>
      <w:r w:rsidRPr="00C173F6">
        <w:rPr>
          <w:rFonts w:ascii="Times New Roman" w:hAnsi="Times New Roman"/>
          <w:sz w:val="24"/>
          <w:szCs w:val="24"/>
        </w:rPr>
        <w:t xml:space="preserve">.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r w:rsidRPr="00C173F6">
        <w:rPr>
          <w:rFonts w:ascii="Times New Roman" w:hAnsi="Times New Roman"/>
          <w:i/>
          <w:sz w:val="24"/>
          <w:szCs w:val="24"/>
        </w:rPr>
        <w:t>Stat</w:t>
      </w:r>
      <w:r w:rsidR="00EA666B">
        <w:rPr>
          <w:rFonts w:ascii="Times New Roman" w:hAnsi="Times New Roman"/>
          <w:i/>
          <w:sz w:val="24"/>
          <w:szCs w:val="24"/>
        </w:rPr>
        <w:t xml:space="preserve"> </w:t>
      </w:r>
      <w:r w:rsidRPr="00C173F6">
        <w:rPr>
          <w:rFonts w:ascii="Times New Roman" w:hAnsi="Times New Roman"/>
          <w:i/>
          <w:sz w:val="24"/>
          <w:szCs w:val="24"/>
        </w:rPr>
        <w:t>Calc</w:t>
      </w:r>
      <w:r w:rsidRPr="00C173F6">
        <w:rPr>
          <w:rFonts w:ascii="Times New Roman" w:hAnsi="Times New Roman"/>
          <w:sz w:val="24"/>
          <w:szCs w:val="24"/>
        </w:rPr>
        <w:t xml:space="preserve"> por meio do programa </w:t>
      </w:r>
      <w:r w:rsidRPr="00C173F6">
        <w:rPr>
          <w:rFonts w:ascii="Times New Roman" w:hAnsi="Times New Roman"/>
          <w:i/>
          <w:sz w:val="24"/>
          <w:szCs w:val="24"/>
        </w:rPr>
        <w:t>Epi-info</w:t>
      </w:r>
      <w:r w:rsidRPr="00C173F6">
        <w:rPr>
          <w:rFonts w:ascii="Times New Roman" w:hAnsi="Times New Roman"/>
          <w:sz w:val="24"/>
          <w:szCs w:val="24"/>
        </w:rPr>
        <w:t xml:space="preserve"> (Centers for Disease</w:t>
      </w:r>
      <w:r w:rsidR="00EA666B">
        <w:rPr>
          <w:rFonts w:ascii="Times New Roman" w:hAnsi="Times New Roman"/>
          <w:sz w:val="24"/>
          <w:szCs w:val="24"/>
        </w:rPr>
        <w:t xml:space="preserve"> </w:t>
      </w:r>
      <w:r w:rsidRPr="00C173F6">
        <w:rPr>
          <w:rFonts w:ascii="Times New Roman" w:hAnsi="Times New Roman"/>
          <w:sz w:val="24"/>
          <w:szCs w:val="24"/>
        </w:rPr>
        <w:t>Control</w:t>
      </w:r>
      <w:r w:rsidR="00EA666B">
        <w:rPr>
          <w:rFonts w:ascii="Times New Roman" w:hAnsi="Times New Roman"/>
          <w:sz w:val="24"/>
          <w:szCs w:val="24"/>
        </w:rPr>
        <w:t xml:space="preserve"> </w:t>
      </w:r>
      <w:r w:rsidRPr="00C173F6">
        <w:rPr>
          <w:rFonts w:ascii="Times New Roman" w:hAnsi="Times New Roman"/>
          <w:sz w:val="24"/>
          <w:szCs w:val="24"/>
        </w:rPr>
        <w:t>and</w:t>
      </w:r>
      <w:r w:rsidR="00EA666B">
        <w:rPr>
          <w:rFonts w:ascii="Times New Roman" w:hAnsi="Times New Roman"/>
          <w:sz w:val="24"/>
          <w:szCs w:val="24"/>
        </w:rPr>
        <w:t xml:space="preserve"> </w:t>
      </w:r>
      <w:r w:rsidRPr="00C173F6">
        <w:rPr>
          <w:rFonts w:ascii="Times New Roman" w:hAnsi="Times New Roman"/>
          <w:sz w:val="24"/>
          <w:szCs w:val="24"/>
        </w:rPr>
        <w:t>Prevention,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r w:rsidR="005F675F">
        <w:rPr>
          <w:rFonts w:ascii="Times New Roman" w:hAnsi="Times New Roman"/>
          <w:sz w:val="24"/>
          <w:szCs w:val="24"/>
        </w:rPr>
        <w:t>socio</w:t>
      </w:r>
      <w:r w:rsidRPr="00C173F6">
        <w:rPr>
          <w:rFonts w:ascii="Times New Roman" w:hAnsi="Times New Roman"/>
          <w:sz w:val="24"/>
          <w:szCs w:val="24"/>
        </w:rPr>
        <w:t>demográficas, segundo a Associação Brasileir</w:t>
      </w:r>
      <w:r w:rsidR="00652E34">
        <w:rPr>
          <w:rFonts w:ascii="Times New Roman" w:hAnsi="Times New Roman"/>
          <w:sz w:val="24"/>
          <w:szCs w:val="24"/>
        </w:rPr>
        <w:t>a de Empresas de Pesquisa (ABEP</w:t>
      </w:r>
      <w:r w:rsidRPr="00C173F6">
        <w:rPr>
          <w:rFonts w:ascii="Times New Roman" w:hAnsi="Times New Roman"/>
          <w:sz w:val="24"/>
          <w:szCs w:val="24"/>
        </w:rPr>
        <w:t xml:space="preserve">),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peso foi obtido por balança eletrônica digital, da marca Kratos</w:t>
      </w:r>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antropômetro vertical milimetrado, da marca Welmy</w:t>
      </w:r>
      <w:r w:rsidR="005F675F">
        <w:rPr>
          <w:rFonts w:ascii="Times New Roman" w:hAnsi="Times New Roman"/>
          <w:sz w:val="24"/>
          <w:szCs w:val="24"/>
        </w:rPr>
        <w:t>®</w:t>
      </w:r>
      <w:r w:rsidRPr="00C173F6">
        <w:rPr>
          <w:rFonts w:ascii="Times New Roman" w:hAnsi="Times New Roman"/>
          <w:sz w:val="24"/>
          <w:szCs w:val="24"/>
        </w:rPr>
        <w:t>, com extensão de 2m e escala de 0,5 cm. As aferições foram realizadas conforme Lohman (1991). Os pontos de corte utilizados para classificação do estado nutricional, a partir do Índice de Massa Corporal (IMC), foram os propostos por Lipschitz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r w:rsidRPr="005B0096">
        <w:rPr>
          <w:rFonts w:ascii="Times New Roman" w:hAnsi="Times New Roman"/>
          <w:sz w:val="24"/>
          <w:szCs w:val="24"/>
        </w:rPr>
        <w:t>International Diabetes Federation</w:t>
      </w:r>
      <w:r w:rsidRPr="00C173F6">
        <w:rPr>
          <w:rFonts w:ascii="Times New Roman" w:hAnsi="Times New Roman"/>
          <w:sz w:val="24"/>
          <w:szCs w:val="24"/>
        </w:rPr>
        <w:t xml:space="preserve"> (IDF)</w:t>
      </w:r>
      <w:r w:rsidR="00E02DB8">
        <w:rPr>
          <w:rFonts w:ascii="Times New Roman" w:hAnsi="Times New Roman"/>
          <w:sz w:val="24"/>
          <w:szCs w:val="24"/>
        </w:rPr>
        <w:t xml:space="preserve"> (ZIMMET, </w:t>
      </w:r>
      <w:proofErr w:type="gramStart"/>
      <w:r w:rsidR="00E02DB8">
        <w:rPr>
          <w:rFonts w:ascii="Times New Roman" w:hAnsi="Times New Roman"/>
          <w:sz w:val="24"/>
          <w:szCs w:val="24"/>
        </w:rPr>
        <w:t xml:space="preserve">2005) </w:t>
      </w:r>
      <w:r w:rsidRPr="00C173F6">
        <w:rPr>
          <w:rFonts w:ascii="Times New Roman" w:hAnsi="Times New Roman"/>
          <w:sz w:val="24"/>
          <w:szCs w:val="24"/>
        </w:rPr>
        <w:t xml:space="preserve"> e</w:t>
      </w:r>
      <w:proofErr w:type="gramEnd"/>
      <w:r w:rsidRPr="00C173F6">
        <w:rPr>
          <w:rFonts w:ascii="Times New Roman" w:hAnsi="Times New Roman"/>
          <w:sz w:val="24"/>
          <w:szCs w:val="24"/>
        </w:rPr>
        <w:t xml:space="preserve"> no ponto médio entre a última costela e a crista ilíaca, como preconizado pelo </w:t>
      </w:r>
      <w:r w:rsidRPr="005B0096">
        <w:rPr>
          <w:rFonts w:ascii="Times New Roman" w:hAnsi="Times New Roman"/>
          <w:sz w:val="24"/>
          <w:szCs w:val="24"/>
        </w:rPr>
        <w:t>National</w:t>
      </w:r>
      <w:r w:rsidR="00EA666B" w:rsidRPr="005B0096">
        <w:rPr>
          <w:rFonts w:ascii="Times New Roman" w:hAnsi="Times New Roman"/>
          <w:sz w:val="24"/>
          <w:szCs w:val="24"/>
        </w:rPr>
        <w:t xml:space="preserve"> </w:t>
      </w:r>
      <w:r w:rsidRPr="005B0096">
        <w:rPr>
          <w:rFonts w:ascii="Times New Roman" w:hAnsi="Times New Roman"/>
          <w:sz w:val="24"/>
          <w:szCs w:val="24"/>
        </w:rPr>
        <w:lastRenderedPageBreak/>
        <w:t>Cholesterol</w:t>
      </w:r>
      <w:r w:rsidR="00EA666B" w:rsidRPr="005B0096">
        <w:rPr>
          <w:rFonts w:ascii="Times New Roman" w:hAnsi="Times New Roman"/>
          <w:sz w:val="24"/>
          <w:szCs w:val="24"/>
        </w:rPr>
        <w:t xml:space="preserve"> </w:t>
      </w:r>
      <w:r w:rsidRPr="005B0096">
        <w:rPr>
          <w:rFonts w:ascii="Times New Roman" w:hAnsi="Times New Roman"/>
          <w:sz w:val="24"/>
          <w:szCs w:val="24"/>
        </w:rPr>
        <w:t>Education</w:t>
      </w:r>
      <w:r w:rsidR="00EA666B" w:rsidRPr="005B0096">
        <w:rPr>
          <w:rFonts w:ascii="Times New Roman" w:hAnsi="Times New Roman"/>
          <w:sz w:val="24"/>
          <w:szCs w:val="24"/>
        </w:rPr>
        <w:t xml:space="preserve"> </w:t>
      </w:r>
      <w:r w:rsidRPr="005B0096">
        <w:rPr>
          <w:rFonts w:ascii="Times New Roman" w:hAnsi="Times New Roman"/>
          <w:sz w:val="24"/>
          <w:szCs w:val="24"/>
        </w:rPr>
        <w:t xml:space="preserve">Program </w:t>
      </w:r>
      <w:r w:rsidRPr="00C173F6">
        <w:rPr>
          <w:rFonts w:ascii="Times New Roman" w:hAnsi="Times New Roman"/>
          <w:sz w:val="24"/>
          <w:szCs w:val="24"/>
        </w:rPr>
        <w:t xml:space="preserve">(NCEP), com três repetições em cada ponto, sendo considerado a média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recordatórios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w:t>
      </w:r>
      <w:r w:rsidR="00EA666B" w:rsidRPr="00C173F6">
        <w:rPr>
          <w:rFonts w:ascii="Times New Roman" w:hAnsi="Times New Roman"/>
          <w:sz w:val="24"/>
          <w:szCs w:val="24"/>
        </w:rPr>
        <w:t>auxílio</w:t>
      </w:r>
      <w:r w:rsidRPr="00C173F6">
        <w:rPr>
          <w:rFonts w:ascii="Times New Roman" w:hAnsi="Times New Roman"/>
          <w:sz w:val="24"/>
          <w:szCs w:val="24"/>
        </w:rPr>
        <w:t xml:space="preserve">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r w:rsidRPr="005B0096">
        <w:rPr>
          <w:rFonts w:ascii="Times New Roman" w:hAnsi="Times New Roman"/>
          <w:i/>
          <w:sz w:val="24"/>
          <w:szCs w:val="24"/>
        </w:rPr>
        <w:t>Dietpro</w:t>
      </w:r>
      <w:r w:rsidRPr="005B0096">
        <w:rPr>
          <w:rFonts w:ascii="Times New Roman" w:hAnsi="Times New Roman"/>
          <w:i/>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r w:rsidR="00EA666B" w:rsidRPr="00C173F6">
        <w:rPr>
          <w:rFonts w:ascii="Times New Roman" w:hAnsi="Times New Roman"/>
          <w:sz w:val="24"/>
          <w:szCs w:val="24"/>
        </w:rPr>
        <w:t>poli-insaturados</w:t>
      </w:r>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EA666B">
        <w:rPr>
          <w:rFonts w:ascii="Times New Roman" w:hAnsi="Times New Roman"/>
          <w:sz w:val="24"/>
          <w:szCs w:val="24"/>
        </w:rPr>
        <w:t xml:space="preserve"> </w:t>
      </w:r>
      <w:r w:rsidRPr="005B0096">
        <w:rPr>
          <w:rFonts w:ascii="Times New Roman" w:hAnsi="Times New Roman"/>
          <w:iCs/>
          <w:sz w:val="24"/>
          <w:szCs w:val="24"/>
        </w:rPr>
        <w:t>Acceptable</w:t>
      </w:r>
      <w:r w:rsidR="00EA666B" w:rsidRPr="005B0096">
        <w:rPr>
          <w:rFonts w:ascii="Times New Roman" w:hAnsi="Times New Roman"/>
          <w:iCs/>
          <w:sz w:val="24"/>
          <w:szCs w:val="24"/>
        </w:rPr>
        <w:t xml:space="preserve"> </w:t>
      </w:r>
      <w:r w:rsidRPr="005B0096">
        <w:rPr>
          <w:rFonts w:ascii="Times New Roman" w:hAnsi="Times New Roman"/>
          <w:iCs/>
          <w:sz w:val="24"/>
          <w:szCs w:val="24"/>
        </w:rPr>
        <w:t>Macronutrient</w:t>
      </w:r>
      <w:r w:rsidR="00EA666B" w:rsidRPr="005B0096">
        <w:rPr>
          <w:rFonts w:ascii="Times New Roman" w:hAnsi="Times New Roman"/>
          <w:iCs/>
          <w:sz w:val="24"/>
          <w:szCs w:val="24"/>
        </w:rPr>
        <w:t xml:space="preserve"> </w:t>
      </w:r>
      <w:r w:rsidRPr="005B0096">
        <w:rPr>
          <w:rFonts w:ascii="Times New Roman" w:hAnsi="Times New Roman"/>
          <w:iCs/>
          <w:sz w:val="24"/>
          <w:szCs w:val="24"/>
        </w:rPr>
        <w:t>Distribution Ranges</w:t>
      </w:r>
      <w:r w:rsidRPr="00C173F6">
        <w:rPr>
          <w:rFonts w:ascii="Times New Roman" w:hAnsi="Times New Roman"/>
          <w:i/>
          <w:iCs/>
          <w:sz w:val="24"/>
          <w:szCs w:val="24"/>
        </w:rPr>
        <w:t xml:space="preserve">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macronutrientes considerada aceitável a variação de 10% a 35% para proteína, de 45% a 65% de carboidratos e 20% a 35% de lipídios, para colesterol 300 mg, gordura saturada 7%, </w:t>
      </w:r>
      <w:r w:rsidR="007A09CF" w:rsidRPr="00C173F6">
        <w:rPr>
          <w:rFonts w:ascii="Times New Roman" w:hAnsi="Times New Roman"/>
          <w:sz w:val="24"/>
          <w:szCs w:val="24"/>
        </w:rPr>
        <w:t>monoinsaturada</w:t>
      </w:r>
      <w:r w:rsidRPr="00C173F6">
        <w:rPr>
          <w:rFonts w:ascii="Times New Roman" w:hAnsi="Times New Roman"/>
          <w:sz w:val="24"/>
          <w:szCs w:val="24"/>
        </w:rPr>
        <w:t xml:space="preserve"> 20% e polinsaturada 10%. Para fibras utilizamos a recomendação de 30g para homens e 21g para mulheres, </w:t>
      </w:r>
      <w:r w:rsidRPr="005B0096">
        <w:rPr>
          <w:rFonts w:ascii="Times New Roman" w:hAnsi="Times New Roman"/>
          <w:sz w:val="24"/>
          <w:szCs w:val="24"/>
        </w:rPr>
        <w:t>segundo Estimated</w:t>
      </w:r>
      <w:r w:rsidR="00EA666B" w:rsidRPr="005B0096">
        <w:rPr>
          <w:rFonts w:ascii="Times New Roman" w:hAnsi="Times New Roman"/>
          <w:sz w:val="24"/>
          <w:szCs w:val="24"/>
        </w:rPr>
        <w:t xml:space="preserve"> </w:t>
      </w:r>
      <w:r w:rsidRPr="005B0096">
        <w:rPr>
          <w:rFonts w:ascii="Times New Roman" w:hAnsi="Times New Roman"/>
          <w:sz w:val="24"/>
          <w:szCs w:val="24"/>
        </w:rPr>
        <w:t>Average</w:t>
      </w:r>
      <w:r w:rsidR="00EA666B" w:rsidRPr="005B0096">
        <w:rPr>
          <w:rFonts w:ascii="Times New Roman" w:hAnsi="Times New Roman"/>
          <w:sz w:val="24"/>
          <w:szCs w:val="24"/>
        </w:rPr>
        <w:t xml:space="preserve"> </w:t>
      </w:r>
      <w:r w:rsidRPr="005B0096">
        <w:rPr>
          <w:rFonts w:ascii="Times New Roman" w:hAnsi="Times New Roman"/>
          <w:sz w:val="24"/>
          <w:szCs w:val="24"/>
        </w:rPr>
        <w:t>Requerement</w:t>
      </w:r>
      <w:r w:rsidR="00EA666B">
        <w:rPr>
          <w:rFonts w:ascii="Times New Roman" w:hAnsi="Times New Roman"/>
          <w:i/>
          <w:sz w:val="24"/>
          <w:szCs w:val="24"/>
        </w:rPr>
        <w:t xml:space="preserve"> </w:t>
      </w:r>
      <w:r w:rsidRPr="00C173F6">
        <w:rPr>
          <w:rFonts w:ascii="Times New Roman" w:hAnsi="Times New Roman"/>
          <w:sz w:val="24"/>
          <w:szCs w:val="24"/>
        </w:rPr>
        <w:t xml:space="preserve">(EAR) </w:t>
      </w:r>
      <w:r w:rsidRPr="00C173F6">
        <w:rPr>
          <w:rFonts w:ascii="Times New Roman" w:hAnsi="Times New Roman"/>
          <w:sz w:val="24"/>
          <w:szCs w:val="24"/>
        </w:rPr>
        <w:lastRenderedPageBreak/>
        <w:t>(</w:t>
      </w:r>
      <w:r w:rsidR="005F675F" w:rsidRPr="00C173F6">
        <w:rPr>
          <w:rStyle w:val="A4"/>
          <w:rFonts w:ascii="Times New Roman" w:hAnsi="Times New Roman" w:cs="Times New Roman"/>
          <w:sz w:val="24"/>
          <w:szCs w:val="24"/>
        </w:rPr>
        <w:t xml:space="preserve">DROR </w:t>
      </w:r>
      <w:r w:rsidR="005B0096" w:rsidRPr="005B0096">
        <w:rPr>
          <w:rStyle w:val="A4"/>
          <w:rFonts w:ascii="Times New Roman" w:hAnsi="Times New Roman" w:cs="Times New Roman"/>
          <w:sz w:val="24"/>
          <w:szCs w:val="24"/>
        </w:rPr>
        <w:t>et al</w:t>
      </w:r>
      <w:r w:rsidR="005F675F" w:rsidRPr="00C173F6">
        <w:rPr>
          <w:rStyle w:val="A4"/>
          <w:rFonts w:ascii="Times New Roman" w:hAnsi="Times New Roman" w:cs="Times New Roman"/>
          <w:i/>
          <w:sz w:val="24"/>
          <w:szCs w:val="24"/>
        </w:rPr>
        <w:t>.</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005B0096" w:rsidRPr="005B0096">
        <w:rPr>
          <w:rStyle w:val="A4"/>
          <w:rFonts w:ascii="Times New Roman" w:hAnsi="Times New Roman" w:cs="Times New Roman"/>
          <w:sz w:val="24"/>
          <w:szCs w:val="24"/>
        </w:rPr>
        <w:t>et al</w:t>
      </w:r>
      <w:r w:rsidRPr="00C173F6">
        <w:rPr>
          <w:rStyle w:val="A4"/>
          <w:rFonts w:ascii="Times New Roman" w:hAnsi="Times New Roman" w:cs="Times New Roman"/>
          <w:i/>
          <w:sz w:val="24"/>
          <w:szCs w:val="24"/>
        </w:rPr>
        <w:t>.</w:t>
      </w:r>
      <w:r w:rsidRPr="00C173F6">
        <w:rPr>
          <w:rStyle w:val="A4"/>
          <w:rFonts w:ascii="Times New Roman" w:hAnsi="Times New Roman" w:cs="Times New Roman"/>
          <w:sz w:val="24"/>
          <w:szCs w:val="24"/>
        </w:rPr>
        <w:t>, 2003;</w:t>
      </w:r>
      <w:r w:rsidR="00E02DB8">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SANTOS </w:t>
      </w:r>
      <w:r w:rsidR="005B0096" w:rsidRPr="005B0096">
        <w:rPr>
          <w:rStyle w:val="A4"/>
          <w:rFonts w:ascii="Times New Roman" w:hAnsi="Times New Roman" w:cs="Times New Roman"/>
          <w:sz w:val="24"/>
          <w:szCs w:val="24"/>
        </w:rPr>
        <w:t>et al</w:t>
      </w:r>
      <w:r w:rsidRPr="00C173F6">
        <w:rPr>
          <w:rStyle w:val="A4"/>
          <w:rFonts w:ascii="Times New Roman" w:hAnsi="Times New Roman" w:cs="Times New Roman"/>
          <w:sz w:val="24"/>
          <w:szCs w:val="24"/>
        </w:rPr>
        <w:t>.,2013</w:t>
      </w:r>
      <w:r w:rsidR="00E02DB8">
        <w:rPr>
          <w:rStyle w:val="A4"/>
          <w:rFonts w:ascii="Times New Roman" w:hAnsi="Times New Roman" w:cs="Times New Roman"/>
          <w:sz w:val="24"/>
          <w:szCs w:val="24"/>
        </w:rPr>
        <w:t>;</w:t>
      </w:r>
      <w:r w:rsidR="00E02DB8" w:rsidRPr="00E02DB8">
        <w:rPr>
          <w:rStyle w:val="A4"/>
          <w:rFonts w:ascii="Times New Roman" w:hAnsi="Times New Roman" w:cs="Times New Roman"/>
          <w:sz w:val="24"/>
          <w:szCs w:val="24"/>
        </w:rPr>
        <w:t xml:space="preserve"> </w:t>
      </w:r>
      <w:r w:rsidR="00E02DB8">
        <w:rPr>
          <w:rStyle w:val="A4"/>
          <w:rFonts w:ascii="Times New Roman" w:hAnsi="Times New Roman" w:cs="Times New Roman"/>
          <w:sz w:val="24"/>
          <w:szCs w:val="24"/>
        </w:rPr>
        <w:t>TRUBO et al.</w:t>
      </w:r>
      <w:r w:rsidR="00E02DB8" w:rsidRPr="00C173F6">
        <w:rPr>
          <w:rStyle w:val="A4"/>
          <w:rFonts w:ascii="Times New Roman" w:hAnsi="Times New Roman" w:cs="Times New Roman"/>
          <w:sz w:val="24"/>
          <w:szCs w:val="24"/>
        </w:rPr>
        <w:t>, 2002</w:t>
      </w:r>
      <w:r w:rsidRPr="00C173F6">
        <w:rPr>
          <w:rStyle w:val="A4"/>
          <w:rFonts w:ascii="Times New Roman" w:hAnsi="Times New Roman" w:cs="Times New Roman"/>
          <w:sz w:val="24"/>
          <w:szCs w:val="24"/>
        </w:rPr>
        <w:t>)</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5B0096">
        <w:rPr>
          <w:rFonts w:ascii="Times New Roman" w:hAnsi="Times New Roman"/>
          <w:sz w:val="24"/>
          <w:szCs w:val="24"/>
        </w:rPr>
        <w:t>Shapiro-Wilk.</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r w:rsidRPr="00C173F6">
        <w:rPr>
          <w:rFonts w:ascii="Times New Roman" w:hAnsi="Times New Roman"/>
          <w:sz w:val="24"/>
          <w:szCs w:val="24"/>
        </w:rPr>
        <w:t>macronutrientes</w:t>
      </w:r>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r w:rsidR="00D553E5" w:rsidRPr="005B0096">
        <w:rPr>
          <w:rFonts w:ascii="Times New Roman" w:hAnsi="Times New Roman"/>
          <w:sz w:val="24"/>
          <w:szCs w:val="24"/>
        </w:rPr>
        <w:t>S</w:t>
      </w:r>
      <w:r w:rsidRPr="005B0096">
        <w:rPr>
          <w:rFonts w:ascii="Times New Roman" w:hAnsi="Times New Roman"/>
          <w:sz w:val="24"/>
          <w:szCs w:val="24"/>
        </w:rPr>
        <w:t>tepwise-forward,</w:t>
      </w:r>
      <w:r w:rsidR="00A1409D">
        <w:rPr>
          <w:rFonts w:ascii="Times New Roman" w:hAnsi="Times New Roman"/>
          <w:sz w:val="24"/>
          <w:szCs w:val="24"/>
        </w:rPr>
        <w:t xml:space="preserve"> </w:t>
      </w:r>
      <w:r w:rsidR="005B0096">
        <w:rPr>
          <w:rFonts w:ascii="Times New Roman" w:hAnsi="Times New Roman"/>
          <w:sz w:val="24"/>
          <w:szCs w:val="24"/>
        </w:rPr>
        <w:t>em que</w:t>
      </w:r>
      <w:r w:rsidRPr="00C173F6">
        <w:rPr>
          <w:rFonts w:ascii="Times New Roman" w:hAnsi="Times New Roman"/>
          <w:sz w:val="24"/>
          <w:szCs w:val="24"/>
        </w:rPr>
        <w:t xml:space="preserv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p&lt;0,05.  As análises for</w:t>
      </w:r>
      <w:r w:rsidR="005B0096">
        <w:rPr>
          <w:rFonts w:ascii="Times New Roman" w:hAnsi="Times New Roman"/>
          <w:sz w:val="24"/>
          <w:szCs w:val="24"/>
        </w:rPr>
        <w:t xml:space="preserve">am realizadas no software </w:t>
      </w:r>
      <w:r w:rsidR="005B0096" w:rsidRPr="005B0096">
        <w:rPr>
          <w:rFonts w:ascii="Times New Roman" w:hAnsi="Times New Roman"/>
          <w:i/>
          <w:sz w:val="24"/>
          <w:szCs w:val="24"/>
        </w:rPr>
        <w:t>Stata</w:t>
      </w:r>
      <w:r w:rsidR="005B0096">
        <w:rPr>
          <w:rFonts w:ascii="Times New Roman" w:hAnsi="Times New Roman"/>
          <w:sz w:val="24"/>
          <w:szCs w:val="24"/>
        </w:rPr>
        <w:t xml:space="preserve"> </w:t>
      </w:r>
      <w:r w:rsidRPr="00C173F6">
        <w:rPr>
          <w:rFonts w:ascii="Times New Roman" w:hAnsi="Times New Roman"/>
          <w:sz w:val="24"/>
          <w:szCs w:val="24"/>
        </w:rPr>
        <w:t>versão 9.1 (</w:t>
      </w:r>
      <w:r w:rsidRPr="00C173F6">
        <w:rPr>
          <w:rFonts w:ascii="Times New Roman" w:hAnsi="Times New Roman"/>
          <w:i/>
          <w:sz w:val="24"/>
          <w:szCs w:val="24"/>
        </w:rPr>
        <w:t>Stata</w:t>
      </w:r>
      <w:r w:rsidR="005B0096">
        <w:rPr>
          <w:rFonts w:ascii="Times New Roman" w:hAnsi="Times New Roman"/>
          <w:i/>
          <w:sz w:val="24"/>
          <w:szCs w:val="24"/>
        </w:rPr>
        <w:t xml:space="preserve"> </w:t>
      </w:r>
      <w:r w:rsidRPr="00C173F6">
        <w:rPr>
          <w:rFonts w:ascii="Times New Roman" w:hAnsi="Times New Roman"/>
          <w:i/>
          <w:sz w:val="24"/>
          <w:szCs w:val="24"/>
        </w:rPr>
        <w:t>Corp.,College</w:t>
      </w:r>
      <w:r w:rsidR="005B0096">
        <w:rPr>
          <w:rFonts w:ascii="Times New Roman" w:hAnsi="Times New Roman"/>
          <w:i/>
          <w:sz w:val="24"/>
          <w:szCs w:val="24"/>
        </w:rPr>
        <w:t xml:space="preserve"> </w:t>
      </w:r>
      <w:r w:rsidRPr="00C173F6">
        <w:rPr>
          <w:rFonts w:ascii="Times New Roman" w:hAnsi="Times New Roman"/>
          <w:i/>
          <w:sz w:val="24"/>
          <w:szCs w:val="24"/>
        </w:rPr>
        <w:t>Station</w:t>
      </w:r>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5B0096">
        <w:rPr>
          <w:rFonts w:ascii="Times New Roman" w:hAnsi="Times New Roman"/>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D36958" w:rsidRDefault="00D36958" w:rsidP="00C173F6">
      <w:pPr>
        <w:spacing w:after="0" w:line="480" w:lineRule="auto"/>
        <w:ind w:firstLine="708"/>
        <w:jc w:val="both"/>
        <w:rPr>
          <w:rFonts w:ascii="Times New Roman" w:hAnsi="Times New Roman"/>
          <w:b/>
          <w:sz w:val="24"/>
          <w:szCs w:val="24"/>
        </w:rPr>
      </w:pPr>
    </w:p>
    <w:p w:rsidR="00D36958" w:rsidRDefault="00D36958" w:rsidP="00C173F6">
      <w:pPr>
        <w:spacing w:after="0" w:line="480" w:lineRule="auto"/>
        <w:ind w:firstLine="708"/>
        <w:jc w:val="both"/>
        <w:rPr>
          <w:rFonts w:ascii="Times New Roman" w:hAnsi="Times New Roman"/>
          <w:b/>
          <w:sz w:val="24"/>
          <w:szCs w:val="24"/>
        </w:rPr>
      </w:pPr>
    </w:p>
    <w:p w:rsidR="00D36958" w:rsidRDefault="00D36958"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consumo alimentar dos idosos participantes está representado pela mediana </w:t>
      </w:r>
      <w:r w:rsidR="00A1409D">
        <w:rPr>
          <w:rFonts w:ascii="Times New Roman" w:hAnsi="Times New Roman"/>
          <w:sz w:val="24"/>
          <w:szCs w:val="24"/>
        </w:rPr>
        <w:t>e intervalo interquartílico na T</w:t>
      </w:r>
      <w:r w:rsidRPr="00C173F6">
        <w:rPr>
          <w:rFonts w:ascii="Times New Roman" w:hAnsi="Times New Roman"/>
          <w:sz w:val="24"/>
          <w:szCs w:val="24"/>
        </w:rPr>
        <w: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macronutrientes.</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r w:rsidRPr="00C173F6">
        <w:rPr>
          <w:rFonts w:ascii="Times New Roman" w:hAnsi="Times New Roman"/>
          <w:sz w:val="24"/>
          <w:szCs w:val="24"/>
        </w:rPr>
        <w:t>o</w:t>
      </w:r>
      <w:r w:rsidR="00D80471" w:rsidRPr="00C173F6">
        <w:rPr>
          <w:rFonts w:ascii="Times New Roman" w:hAnsi="Times New Roman"/>
          <w:sz w:val="24"/>
          <w:szCs w:val="24"/>
        </w:rPr>
        <w:t>s</w:t>
      </w:r>
      <w:r w:rsidR="00EA666B">
        <w:rPr>
          <w:rFonts w:ascii="Times New Roman" w:hAnsi="Times New Roman"/>
          <w:sz w:val="24"/>
          <w:szCs w:val="24"/>
        </w:rPr>
        <w:t xml:space="preserve"> </w:t>
      </w:r>
      <w:r w:rsidR="00D80471" w:rsidRPr="00C173F6">
        <w:rPr>
          <w:rFonts w:ascii="Times New Roman" w:hAnsi="Times New Roman"/>
          <w:sz w:val="24"/>
          <w:szCs w:val="24"/>
        </w:rPr>
        <w:t>idosos</w:t>
      </w:r>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r w:rsidR="00EA666B" w:rsidRPr="00C173F6">
        <w:rPr>
          <w:rFonts w:ascii="Times New Roman" w:hAnsi="Times New Roman"/>
          <w:sz w:val="24"/>
          <w:szCs w:val="24"/>
        </w:rPr>
        <w:t>poli-insaturada</w:t>
      </w:r>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w:t>
      </w:r>
      <w:r w:rsidR="00EA666B">
        <w:rPr>
          <w:rFonts w:ascii="Times New Roman" w:hAnsi="Times New Roman"/>
          <w:sz w:val="24"/>
          <w:szCs w:val="24"/>
        </w:rPr>
        <w:t xml:space="preserve"> </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valores de referência para a recomendação</w:t>
      </w:r>
      <w:r w:rsidR="00EA666B">
        <w:rPr>
          <w:rFonts w:ascii="Times New Roman" w:hAnsi="Times New Roman"/>
          <w:sz w:val="24"/>
          <w:szCs w:val="24"/>
        </w:rPr>
        <w:t xml:space="preserve"> </w:t>
      </w:r>
      <w:r w:rsidR="00B42F3E" w:rsidRPr="00C173F6">
        <w:rPr>
          <w:rFonts w:ascii="Times New Roman" w:hAnsi="Times New Roman"/>
          <w:sz w:val="24"/>
          <w:szCs w:val="24"/>
        </w:rPr>
        <w:t>do</w:t>
      </w:r>
      <w:r w:rsidR="00EA666B">
        <w:rPr>
          <w:rFonts w:ascii="Times New Roman" w:hAnsi="Times New Roman"/>
          <w:sz w:val="24"/>
          <w:szCs w:val="24"/>
        </w:rPr>
        <w:t xml:space="preserve"> </w:t>
      </w:r>
      <w:r w:rsidRPr="00C173F6">
        <w:rPr>
          <w:rFonts w:ascii="Times New Roman" w:hAnsi="Times New Roman"/>
          <w:sz w:val="24"/>
          <w:szCs w:val="24"/>
        </w:rPr>
        <w:t>consumo</w:t>
      </w:r>
      <w:r w:rsidR="00EA666B">
        <w:rPr>
          <w:rFonts w:ascii="Times New Roman" w:hAnsi="Times New Roman"/>
          <w:sz w:val="24"/>
          <w:szCs w:val="24"/>
        </w:rPr>
        <w:t xml:space="preserve"> </w:t>
      </w:r>
      <w:r w:rsidRPr="00C173F6">
        <w:rPr>
          <w:rFonts w:ascii="Times New Roman" w:hAnsi="Times New Roman"/>
          <w:sz w:val="24"/>
          <w:szCs w:val="24"/>
        </w:rPr>
        <w:t>alimentar</w:t>
      </w:r>
      <w:r w:rsidR="00EA666B">
        <w:rPr>
          <w:rFonts w:ascii="Times New Roman" w:hAnsi="Times New Roman"/>
          <w:sz w:val="24"/>
          <w:szCs w:val="24"/>
        </w:rPr>
        <w:t xml:space="preserve"> </w:t>
      </w:r>
      <w:r w:rsidR="00265D98" w:rsidRPr="00C173F6">
        <w:rPr>
          <w:rFonts w:ascii="Times New Roman" w:hAnsi="Times New Roman"/>
          <w:sz w:val="24"/>
          <w:szCs w:val="24"/>
        </w:rPr>
        <w:t xml:space="preserve">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EA666B" w:rsidP="002B1B33">
            <w:pPr>
              <w:jc w:val="both"/>
              <w:outlineLvl w:val="0"/>
              <w:rPr>
                <w:rFonts w:ascii="Times New Roman" w:hAnsi="Times New Roman"/>
                <w:sz w:val="20"/>
                <w:szCs w:val="20"/>
              </w:rPr>
            </w:pPr>
            <w:r w:rsidRPr="00C173F6">
              <w:rPr>
                <w:rFonts w:ascii="Times New Roman" w:hAnsi="Times New Roman"/>
                <w:sz w:val="20"/>
                <w:szCs w:val="20"/>
              </w:rPr>
              <w:t>Poli-insaturada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lastRenderedPageBreak/>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tab/>
      </w:r>
      <w:r w:rsidRPr="00C173F6">
        <w:rPr>
          <w:rFonts w:ascii="Times New Roman" w:hAnsi="Times New Roman"/>
          <w:sz w:val="24"/>
          <w:szCs w:val="24"/>
        </w:rPr>
        <w:t xml:space="preserve">Com relação a </w:t>
      </w:r>
      <w:r w:rsidR="00A1409D">
        <w:rPr>
          <w:rFonts w:ascii="Times New Roman" w:hAnsi="Times New Roman"/>
          <w:sz w:val="24"/>
          <w:szCs w:val="24"/>
        </w:rPr>
        <w:t>T</w:t>
      </w:r>
      <w:r w:rsidRPr="00C173F6">
        <w:rPr>
          <w:rFonts w:ascii="Times New Roman" w:hAnsi="Times New Roman"/>
          <w:sz w:val="24"/>
          <w:szCs w:val="24"/>
        </w:rPr>
        <w:t xml:space="preserve">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833"/>
        <w:gridCol w:w="283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xml:space="preserve">* IMC=índice de massa corporal (Lipschitz, 1994); Perímetro da cintura 1= perímetro da cintura aferida na cicatriz </w:t>
      </w:r>
      <w:r w:rsidR="00EA666B" w:rsidRPr="00C173F6">
        <w:rPr>
          <w:rFonts w:ascii="Times New Roman" w:hAnsi="Times New Roman"/>
          <w:sz w:val="18"/>
          <w:szCs w:val="18"/>
        </w:rPr>
        <w:t>umbilical</w:t>
      </w:r>
      <w:r w:rsidRPr="00C173F6">
        <w:rPr>
          <w:rFonts w:ascii="Times New Roman" w:hAnsi="Times New Roman"/>
          <w:sz w:val="18"/>
          <w:szCs w:val="18"/>
        </w:rPr>
        <w:t xml:space="preserve">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 </w:t>
      </w:r>
      <w:r w:rsidR="00A1409D">
        <w:rPr>
          <w:rFonts w:ascii="Times New Roman" w:hAnsi="Times New Roman"/>
          <w:sz w:val="24"/>
          <w:szCs w:val="24"/>
        </w:rPr>
        <w:t>T</w:t>
      </w:r>
      <w:r w:rsidRPr="00C173F6">
        <w:rPr>
          <w:rFonts w:ascii="Times New Roman" w:hAnsi="Times New Roman"/>
          <w:sz w:val="24"/>
          <w:szCs w:val="24"/>
        </w:rPr>
        <w: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r w:rsidR="00EA666B" w:rsidRPr="00C173F6">
              <w:rPr>
                <w:rFonts w:ascii="Times New Roman" w:hAnsi="Times New Roman"/>
                <w:sz w:val="20"/>
                <w:szCs w:val="20"/>
              </w:rPr>
              <w:t>poli-insaturada</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(Lipschitz,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(Lipschitz,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C40AB4" w:rsidP="005F675F">
      <w:pPr>
        <w:pStyle w:val="PargrafodaLista"/>
        <w:numPr>
          <w:ilvl w:val="0"/>
          <w:numId w:val="9"/>
        </w:numPr>
        <w:spacing w:line="480" w:lineRule="auto"/>
        <w:jc w:val="both"/>
        <w:outlineLvl w:val="0"/>
        <w:rPr>
          <w:rFonts w:ascii="Times New Roman" w:hAnsi="Times New Roman"/>
          <w:b/>
          <w:sz w:val="24"/>
          <w:szCs w:val="24"/>
        </w:rPr>
      </w:pPr>
      <w:r>
        <w:rPr>
          <w:rFonts w:ascii="Times New Roman" w:hAnsi="Times New Roman"/>
          <w:b/>
          <w:sz w:val="24"/>
          <w:szCs w:val="24"/>
        </w:rPr>
        <w:t>DISCUSSÃO</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r w:rsidRPr="00C173F6">
        <w:rPr>
          <w:rFonts w:ascii="Times New Roman" w:hAnsi="Times New Roman"/>
          <w:sz w:val="24"/>
          <w:szCs w:val="24"/>
        </w:rPr>
        <w:t>preditor</w:t>
      </w:r>
      <w:r w:rsidR="00EA666B">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r w:rsidR="007A09CF" w:rsidRPr="00C173F6">
        <w:rPr>
          <w:rFonts w:ascii="Times New Roman" w:hAnsi="Times New Roman"/>
          <w:sz w:val="24"/>
          <w:szCs w:val="24"/>
        </w:rPr>
        <w:t>muitas vezes</w:t>
      </w:r>
      <w:r w:rsidRPr="00C173F6">
        <w:rPr>
          <w:rFonts w:ascii="Times New Roman" w:hAnsi="Times New Roman"/>
          <w:sz w:val="24"/>
          <w:szCs w:val="24"/>
        </w:rPr>
        <w:t>, à ausência de consenso sobre o ponto de corte de IMC mais adequado para classificação antropométrica da obesidade</w:t>
      </w:r>
      <w:r w:rsidR="00EA666B">
        <w:rPr>
          <w:rFonts w:ascii="Times New Roman" w:hAnsi="Times New Roman"/>
          <w:sz w:val="24"/>
          <w:szCs w:val="24"/>
        </w:rPr>
        <w:t xml:space="preserve"> </w:t>
      </w:r>
      <w:r w:rsidR="00B90A52" w:rsidRPr="00C173F6">
        <w:rPr>
          <w:rFonts w:ascii="Times New Roman" w:hAnsi="Times New Roman"/>
          <w:sz w:val="24"/>
          <w:szCs w:val="24"/>
        </w:rPr>
        <w:t>e a dificuldade em se avaliar o consumo alimentar da população, uma vez que não possuímos pontos de corte específicos para idosos</w:t>
      </w:r>
      <w:r w:rsidR="005B0096">
        <w:rPr>
          <w:rFonts w:ascii="Times New Roman" w:hAnsi="Times New Roman"/>
          <w:sz w:val="24"/>
          <w:szCs w:val="24"/>
        </w:rPr>
        <w:t xml:space="preserve"> </w:t>
      </w:r>
      <w:r w:rsidRPr="00C173F6">
        <w:rPr>
          <w:rFonts w:ascii="Times New Roman" w:hAnsi="Times New Roman"/>
          <w:sz w:val="24"/>
          <w:szCs w:val="24"/>
        </w:rPr>
        <w:t xml:space="preserve">(SANTOS e SICHIERI, 2005; VISSCHER, </w:t>
      </w:r>
      <w:r w:rsidR="005B0096" w:rsidRPr="005B0096">
        <w:rPr>
          <w:rFonts w:ascii="Times New Roman" w:hAnsi="Times New Roman"/>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estabelecimento de hipercolesterolemia, hiperinsulinemia, hipertrigliceridemia e </w:t>
      </w:r>
      <w:r w:rsidR="00445695" w:rsidRPr="00C173F6">
        <w:rPr>
          <w:rFonts w:ascii="Times New Roman" w:hAnsi="Times New Roman"/>
          <w:sz w:val="24"/>
          <w:szCs w:val="24"/>
        </w:rPr>
        <w:lastRenderedPageBreak/>
        <w:t>ocorrência da doença cardiovascular. Além disso, o elevado consumo de carboidratos refinados exerce efeito direto no excesso de peso e desenvolvimento da obesidade. Carboidratos ideais para melhorar o dismetabolismo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5B0096" w:rsidRPr="005B0096">
        <w:rPr>
          <w:rStyle w:val="A4"/>
          <w:rFonts w:ascii="Times New Roman" w:hAnsi="Times New Roman" w:cs="Times New Roman"/>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mostra</w:t>
      </w:r>
      <w:r w:rsidR="00676647" w:rsidRPr="00C173F6">
        <w:rPr>
          <w:rFonts w:ascii="Times New Roman" w:hAnsi="Times New Roman"/>
          <w:sz w:val="24"/>
          <w:szCs w:val="24"/>
        </w:rPr>
        <w:t xml:space="preserve">a evolução do consumo de alimentos no </w:t>
      </w:r>
      <w:r w:rsidR="00EA666B" w:rsidRPr="00C173F6">
        <w:rPr>
          <w:rFonts w:ascii="Times New Roman" w:hAnsi="Times New Roman"/>
          <w:sz w:val="24"/>
          <w:szCs w:val="24"/>
        </w:rPr>
        <w:t>domicílio, ressaltando</w:t>
      </w:r>
      <w:r w:rsidR="004C27A7" w:rsidRPr="00C173F6">
        <w:rPr>
          <w:rFonts w:ascii="Times New Roman" w:hAnsi="Times New Roman"/>
          <w:sz w:val="24"/>
          <w:szCs w:val="24"/>
        </w:rPr>
        <w:t xml:space="preserve"> o aumento da</w:t>
      </w:r>
      <w:r w:rsidR="00676647" w:rsidRPr="00C173F6">
        <w:rPr>
          <w:rFonts w:ascii="Times New Roman" w:hAnsi="Times New Roman"/>
          <w:sz w:val="24"/>
          <w:szCs w:val="24"/>
        </w:rPr>
        <w:t xml:space="preserve"> proporção de alimentos </w:t>
      </w:r>
      <w:r w:rsidR="00EA666B" w:rsidRPr="00C173F6">
        <w:rPr>
          <w:rFonts w:ascii="Times New Roman" w:hAnsi="Times New Roman"/>
          <w:sz w:val="24"/>
          <w:szCs w:val="24"/>
        </w:rPr>
        <w:t>industrializados, como</w:t>
      </w:r>
      <w:r w:rsidR="004C27A7" w:rsidRPr="00C173F6">
        <w:rPr>
          <w:rFonts w:ascii="Times New Roman" w:hAnsi="Times New Roman"/>
          <w:sz w:val="24"/>
          <w:szCs w:val="24"/>
        </w:rPr>
        <w:t xml:space="preserve">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5B0096" w:rsidRPr="005B0096">
        <w:rPr>
          <w:rFonts w:ascii="Times New Roman" w:eastAsia="Times New Roman" w:hAnsi="Times New Roman"/>
          <w:sz w:val="24"/>
          <w:szCs w:val="24"/>
        </w:rPr>
        <w:t>et al</w:t>
      </w:r>
      <w:r w:rsidR="003C4918" w:rsidRPr="00C173F6">
        <w:rPr>
          <w:rFonts w:ascii="Times New Roman" w:eastAsia="Times New Roman" w:hAnsi="Times New Roman"/>
          <w:i/>
          <w:sz w:val="24"/>
          <w:szCs w:val="24"/>
        </w:rPr>
        <w:t>.,</w:t>
      </w:r>
      <w:r w:rsidR="007A09CF" w:rsidRPr="00C173F6">
        <w:rPr>
          <w:rFonts w:ascii="Times New Roman" w:eastAsia="Times New Roman" w:hAnsi="Times New Roman"/>
          <w:sz w:val="24"/>
          <w:szCs w:val="24"/>
        </w:rPr>
        <w:t>2008, IBGE</w:t>
      </w:r>
      <w:r w:rsidR="003C4918" w:rsidRPr="00C173F6">
        <w:rPr>
          <w:rFonts w:ascii="Times New Roman" w:eastAsia="Times New Roman" w:hAnsi="Times New Roman"/>
          <w:sz w:val="24"/>
          <w:szCs w:val="24"/>
        </w:rPr>
        <w:t>,2013)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r w:rsidR="00EA666B" w:rsidRPr="00C173F6">
        <w:rPr>
          <w:rFonts w:ascii="Times New Roman" w:hAnsi="Times New Roman"/>
          <w:sz w:val="24"/>
          <w:szCs w:val="24"/>
          <w:lang w:bidi="en-US"/>
        </w:rPr>
        <w:t>diretriz estão</w:t>
      </w:r>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7C72F9"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7C72F9"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5B0096">
        <w:rPr>
          <w:rFonts w:ascii="Times New Roman" w:hAnsi="Times New Roman"/>
          <w:sz w:val="24"/>
          <w:szCs w:val="24"/>
        </w:rPr>
        <w:t xml:space="preserve"> </w:t>
      </w:r>
      <w:r w:rsidR="005B0096" w:rsidRPr="005B0096">
        <w:rPr>
          <w:rFonts w:ascii="Times New Roman" w:hAnsi="Times New Roman"/>
          <w:sz w:val="24"/>
          <w:szCs w:val="24"/>
        </w:rPr>
        <w:t>et al</w:t>
      </w:r>
      <w:r w:rsidR="007254A4" w:rsidRPr="00C173F6">
        <w:rPr>
          <w:rFonts w:ascii="Times New Roman" w:hAnsi="Times New Roman"/>
          <w:i/>
          <w:sz w:val="24"/>
          <w:szCs w:val="24"/>
        </w:rPr>
        <w:t>.</w:t>
      </w:r>
      <w:r w:rsidR="007254A4" w:rsidRPr="00C173F6">
        <w:rPr>
          <w:rFonts w:ascii="Times New Roman" w:hAnsi="Times New Roman"/>
          <w:sz w:val="24"/>
          <w:szCs w:val="24"/>
        </w:rPr>
        <w:t>, 2005)</w:t>
      </w:r>
      <w:r w:rsidR="007C72F9"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02DB8" w:rsidRDefault="00E54CB0" w:rsidP="00E02DB8">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E02DB8">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Pr="00C40AB4" w:rsidRDefault="00F33B5A" w:rsidP="00EA1376">
      <w:pPr>
        <w:spacing w:before="240" w:after="0" w:line="360" w:lineRule="auto"/>
        <w:jc w:val="both"/>
        <w:rPr>
          <w:rFonts w:ascii="Times New Roman" w:hAnsi="Times New Roman"/>
          <w:sz w:val="24"/>
          <w:szCs w:val="24"/>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t xml:space="preserve">Dietary intake of older adults and its association with nutritional status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w:t>
      </w:r>
      <w:proofErr w:type="spellEnd"/>
      <w:r w:rsidR="007A09CF">
        <w:rPr>
          <w:rFonts w:ascii="Times New Roman" w:hAnsi="Times New Roman"/>
          <w:sz w:val="24"/>
          <w:szCs w:val="24"/>
          <w:shd w:val="clear" w:color="auto" w:fill="FFFFFF"/>
          <w:lang w:val="en-US"/>
        </w:rPr>
        <w:t xml:space="preserve"> </w:t>
      </w:r>
      <w:proofErr w:type="gramStart"/>
      <w:r w:rsidRPr="00C173F6">
        <w:rPr>
          <w:rFonts w:ascii="Times New Roman" w:hAnsi="Times New Roman"/>
          <w:sz w:val="24"/>
          <w:szCs w:val="24"/>
          <w:shd w:val="clear" w:color="auto" w:fill="FFFFFF"/>
          <w:lang w:val="en-US"/>
        </w:rPr>
        <w:t>county</w:t>
      </w:r>
      <w:proofErr w:type="gram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w:t>
      </w:r>
      <w:proofErr w:type="spellEnd"/>
      <w:r w:rsidR="007A09CF">
        <w:rPr>
          <w:rFonts w:ascii="Times New Roman" w:hAnsi="Times New Roman"/>
          <w:sz w:val="24"/>
          <w:szCs w:val="24"/>
          <w:shd w:val="clear" w:color="auto" w:fill="FFFFFF"/>
          <w:lang w:val="en-US"/>
        </w:rPr>
        <w:t xml:space="preserve"> </w:t>
      </w:r>
      <w:proofErr w:type="gramStart"/>
      <w:r w:rsidRPr="00C173F6">
        <w:rPr>
          <w:rFonts w:ascii="Times New Roman" w:hAnsi="Times New Roman"/>
          <w:sz w:val="24"/>
          <w:szCs w:val="24"/>
          <w:shd w:val="clear" w:color="auto" w:fill="FFFFFF"/>
          <w:lang w:val="en-US"/>
        </w:rPr>
        <w:t>county</w:t>
      </w:r>
      <w:proofErr w:type="gram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proofErr w:type="spellStart"/>
      <w:r w:rsidRPr="00EA1376">
        <w:rPr>
          <w:rFonts w:ascii="Times New Roman" w:hAnsi="Times New Roman"/>
          <w:b/>
          <w:sz w:val="24"/>
          <w:szCs w:val="24"/>
          <w:lang w:val="en-US"/>
        </w:rPr>
        <w:t>Keywords</w:t>
      </w:r>
      <w:r>
        <w:rPr>
          <w:rFonts w:ascii="Times New Roman" w:hAnsi="Times New Roman"/>
          <w:b/>
          <w:sz w:val="24"/>
          <w:szCs w:val="24"/>
          <w:lang w:val="en-US"/>
        </w:rPr>
        <w:t>:</w:t>
      </w:r>
      <w:r w:rsidR="00EA1376" w:rsidRPr="00D95CB3">
        <w:rPr>
          <w:rFonts w:ascii="Times New Roman" w:hAnsi="Times New Roman"/>
          <w:sz w:val="24"/>
          <w:szCs w:val="24"/>
          <w:lang w:val="en-US"/>
        </w:rPr>
        <w:t>Aged</w:t>
      </w:r>
      <w:proofErr w:type="spellEnd"/>
      <w:r w:rsidR="00EA1376" w:rsidRPr="00D95CB3">
        <w:rPr>
          <w:rFonts w:ascii="Times New Roman" w:hAnsi="Times New Roman"/>
          <w:sz w:val="24"/>
          <w:szCs w:val="24"/>
          <w:lang w:val="en-US"/>
        </w:rPr>
        <w:t xml:space="preserve">. </w:t>
      </w:r>
      <w:r w:rsidR="00EA1376" w:rsidRPr="00340EE0">
        <w:rPr>
          <w:rFonts w:ascii="Times New Roman" w:hAnsi="Times New Roman"/>
          <w:sz w:val="24"/>
          <w:szCs w:val="24"/>
          <w:lang w:val="en-US"/>
        </w:rPr>
        <w:t xml:space="preserve">Nutritional </w:t>
      </w:r>
      <w:proofErr w:type="spellStart"/>
      <w:r w:rsidR="00EA1376" w:rsidRPr="00340EE0">
        <w:rPr>
          <w:rFonts w:ascii="Times New Roman" w:hAnsi="Times New Roman"/>
          <w:sz w:val="24"/>
          <w:szCs w:val="24"/>
          <w:lang w:val="en-US"/>
        </w:rPr>
        <w:t>status.Food</w:t>
      </w:r>
      <w:proofErr w:type="spellEnd"/>
      <w:r w:rsidR="00EA1376" w:rsidRPr="00340EE0">
        <w:rPr>
          <w:rFonts w:ascii="Times New Roman" w:hAnsi="Times New Roman"/>
          <w:sz w:val="24"/>
          <w:szCs w:val="24"/>
          <w:lang w:val="en-US"/>
        </w:rPr>
        <w:t xml:space="preserve"> consumption.</w:t>
      </w:r>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A824FC" w:rsidRPr="00C173F6" w:rsidRDefault="00A824FC" w:rsidP="008B565B">
      <w:pPr>
        <w:spacing w:after="20" w:line="360" w:lineRule="auto"/>
        <w:jc w:val="both"/>
        <w:outlineLvl w:val="0"/>
        <w:rPr>
          <w:rFonts w:ascii="Times New Roman" w:eastAsia="Times New Roman" w:hAnsi="Times New Roman"/>
          <w:b/>
          <w:sz w:val="24"/>
          <w:szCs w:val="24"/>
        </w:rPr>
      </w:pPr>
    </w:p>
    <w:p w:rsidR="00652E34" w:rsidRDefault="00652E34" w:rsidP="00652E34">
      <w:pPr>
        <w:spacing w:line="240" w:lineRule="auto"/>
        <w:rPr>
          <w:rFonts w:ascii="Times New Roman" w:hAnsi="Times New Roman"/>
          <w:sz w:val="24"/>
          <w:szCs w:val="24"/>
        </w:rPr>
      </w:pPr>
      <w:r w:rsidRPr="00652E34">
        <w:rPr>
          <w:rFonts w:ascii="Times New Roman" w:hAnsi="Times New Roman"/>
          <w:sz w:val="24"/>
          <w:szCs w:val="24"/>
        </w:rPr>
        <w:t xml:space="preserve">ALIZADEH, M. et al. Major </w:t>
      </w:r>
      <w:proofErr w:type="spellStart"/>
      <w:r w:rsidRPr="00652E34">
        <w:rPr>
          <w:rFonts w:ascii="Times New Roman" w:hAnsi="Times New Roman"/>
          <w:sz w:val="24"/>
          <w:szCs w:val="24"/>
        </w:rPr>
        <w:t>dietary</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patterns</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among</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female</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adolescent</w:t>
      </w:r>
      <w:proofErr w:type="spellEnd"/>
      <w:r w:rsidRPr="00652E34">
        <w:rPr>
          <w:rFonts w:ascii="Times New Roman" w:hAnsi="Times New Roman"/>
          <w:sz w:val="24"/>
          <w:szCs w:val="24"/>
        </w:rPr>
        <w:t xml:space="preserve"> girls </w:t>
      </w:r>
      <w:proofErr w:type="spellStart"/>
      <w:r w:rsidRPr="00652E34">
        <w:rPr>
          <w:rFonts w:ascii="Times New Roman" w:hAnsi="Times New Roman"/>
          <w:sz w:val="24"/>
          <w:szCs w:val="24"/>
        </w:rPr>
        <w:t>of</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talaat</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intelligent</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guidance</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school</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Tabriz</w:t>
      </w:r>
      <w:proofErr w:type="spellEnd"/>
      <w:r w:rsidRPr="00652E34">
        <w:rPr>
          <w:rFonts w:ascii="Times New Roman" w:hAnsi="Times New Roman"/>
          <w:sz w:val="24"/>
          <w:szCs w:val="24"/>
        </w:rPr>
        <w:t xml:space="preserve">, Iran. </w:t>
      </w:r>
      <w:proofErr w:type="spellStart"/>
      <w:r w:rsidRPr="00652E34">
        <w:rPr>
          <w:rFonts w:ascii="Times New Roman" w:hAnsi="Times New Roman"/>
          <w:sz w:val="24"/>
          <w:szCs w:val="24"/>
        </w:rPr>
        <w:t>Iranian</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Red</w:t>
      </w:r>
      <w:proofErr w:type="spellEnd"/>
      <w:r w:rsidRPr="00652E34">
        <w:rPr>
          <w:rFonts w:ascii="Times New Roman" w:hAnsi="Times New Roman"/>
          <w:sz w:val="24"/>
          <w:szCs w:val="24"/>
        </w:rPr>
        <w:t xml:space="preserve"> </w:t>
      </w:r>
      <w:proofErr w:type="spellStart"/>
      <w:r w:rsidRPr="00652E34">
        <w:rPr>
          <w:rFonts w:ascii="Times New Roman" w:hAnsi="Times New Roman"/>
          <w:sz w:val="24"/>
          <w:szCs w:val="24"/>
        </w:rPr>
        <w:t>Crescent</w:t>
      </w:r>
      <w:proofErr w:type="spellEnd"/>
      <w:r w:rsidRPr="00652E34">
        <w:rPr>
          <w:rFonts w:ascii="Times New Roman" w:hAnsi="Times New Roman"/>
          <w:sz w:val="24"/>
          <w:szCs w:val="24"/>
        </w:rPr>
        <w:t xml:space="preserve"> Medical </w:t>
      </w:r>
      <w:proofErr w:type="spellStart"/>
      <w:r w:rsidRPr="00652E34">
        <w:rPr>
          <w:rFonts w:ascii="Times New Roman" w:hAnsi="Times New Roman"/>
          <w:sz w:val="24"/>
          <w:szCs w:val="24"/>
        </w:rPr>
        <w:t>Journal</w:t>
      </w:r>
      <w:proofErr w:type="spellEnd"/>
      <w:r w:rsidRPr="00652E34">
        <w:rPr>
          <w:rFonts w:ascii="Times New Roman" w:hAnsi="Times New Roman"/>
          <w:sz w:val="24"/>
          <w:szCs w:val="24"/>
        </w:rPr>
        <w:t>, v. 14, n. 7, p. 436, 2012.</w:t>
      </w:r>
    </w:p>
    <w:p w:rsidR="00E02DB8" w:rsidRDefault="00E02DB8" w:rsidP="007254A4">
      <w:pPr>
        <w:spacing w:after="20" w:line="240" w:lineRule="auto"/>
        <w:outlineLvl w:val="0"/>
        <w:rPr>
          <w:rFonts w:ascii="Times New Roman" w:eastAsia="Times New Roman" w:hAnsi="Times New Roman"/>
          <w:sz w:val="24"/>
          <w:szCs w:val="24"/>
        </w:rPr>
      </w:pPr>
    </w:p>
    <w:p w:rsidR="007254A4" w:rsidRPr="007A09CF" w:rsidRDefault="00652E34" w:rsidP="007254A4">
      <w:pPr>
        <w:spacing w:after="20" w:line="240" w:lineRule="auto"/>
        <w:outlineLvl w:val="0"/>
        <w:rPr>
          <w:rFonts w:ascii="Times New Roman" w:eastAsia="Times New Roman" w:hAnsi="Times New Roman"/>
          <w:bCs/>
          <w:sz w:val="24"/>
          <w:szCs w:val="24"/>
        </w:rPr>
      </w:pPr>
      <w:r w:rsidRPr="00652E34">
        <w:rPr>
          <w:rFonts w:ascii="Times New Roman" w:eastAsia="Times New Roman" w:hAnsi="Times New Roman"/>
          <w:sz w:val="24"/>
          <w:szCs w:val="24"/>
        </w:rPr>
        <w:t>BUENO, J</w:t>
      </w:r>
      <w:r>
        <w:rPr>
          <w:rFonts w:ascii="Times New Roman" w:eastAsia="Times New Roman" w:hAnsi="Times New Roman"/>
          <w:sz w:val="24"/>
          <w:szCs w:val="24"/>
        </w:rPr>
        <w:t>.</w:t>
      </w:r>
      <w:r w:rsidRPr="00652E34">
        <w:rPr>
          <w:rFonts w:ascii="Times New Roman" w:eastAsia="Times New Roman" w:hAnsi="Times New Roman"/>
          <w:sz w:val="24"/>
          <w:szCs w:val="24"/>
        </w:rPr>
        <w:t xml:space="preserve"> M</w:t>
      </w:r>
      <w:r>
        <w:rPr>
          <w:rFonts w:ascii="Times New Roman" w:eastAsia="Times New Roman" w:hAnsi="Times New Roman"/>
          <w:sz w:val="24"/>
          <w:szCs w:val="24"/>
        </w:rPr>
        <w:t>.</w:t>
      </w:r>
      <w:r w:rsidRPr="00652E34">
        <w:rPr>
          <w:rFonts w:ascii="Times New Roman" w:eastAsia="Times New Roman" w:hAnsi="Times New Roman"/>
          <w:sz w:val="24"/>
          <w:szCs w:val="24"/>
        </w:rPr>
        <w:t xml:space="preserve"> et al. Avaliação nutricional e prevalência de doenças crônicas não transmissíveis em idosos pertencentes a um programa assistencial. </w:t>
      </w:r>
      <w:r w:rsidR="00E02DB8">
        <w:rPr>
          <w:rFonts w:ascii="Times New Roman" w:eastAsia="Times New Roman" w:hAnsi="Times New Roman"/>
          <w:sz w:val="24"/>
          <w:szCs w:val="24"/>
        </w:rPr>
        <w:t xml:space="preserve">Ciênc. </w:t>
      </w:r>
      <w:proofErr w:type="gramStart"/>
      <w:r w:rsidR="00E02DB8">
        <w:rPr>
          <w:rFonts w:ascii="Times New Roman" w:eastAsia="Times New Roman" w:hAnsi="Times New Roman"/>
          <w:sz w:val="24"/>
          <w:szCs w:val="24"/>
        </w:rPr>
        <w:t>saúde</w:t>
      </w:r>
      <w:proofErr w:type="gramEnd"/>
      <w:r w:rsidR="00E02DB8">
        <w:rPr>
          <w:rFonts w:ascii="Times New Roman" w:eastAsia="Times New Roman" w:hAnsi="Times New Roman"/>
          <w:sz w:val="24"/>
          <w:szCs w:val="24"/>
        </w:rPr>
        <w:t xml:space="preserve"> </w:t>
      </w:r>
      <w:proofErr w:type="spellStart"/>
      <w:r w:rsidR="00E02DB8">
        <w:rPr>
          <w:rFonts w:ascii="Times New Roman" w:eastAsia="Times New Roman" w:hAnsi="Times New Roman"/>
          <w:sz w:val="24"/>
          <w:szCs w:val="24"/>
        </w:rPr>
        <w:t>colet</w:t>
      </w:r>
      <w:proofErr w:type="spellEnd"/>
      <w:r w:rsidRPr="00652E34">
        <w:rPr>
          <w:rFonts w:ascii="Times New Roman" w:eastAsia="Times New Roman" w:hAnsi="Times New Roman"/>
          <w:sz w:val="24"/>
          <w:szCs w:val="24"/>
        </w:rPr>
        <w:t>, v. 13, n. 4, p. 1237-1246, 2008.</w:t>
      </w:r>
    </w:p>
    <w:p w:rsidR="00652E34" w:rsidRPr="007A09CF" w:rsidRDefault="00652E34" w:rsidP="007254A4">
      <w:pPr>
        <w:spacing w:after="20" w:line="240" w:lineRule="auto"/>
        <w:outlineLvl w:val="0"/>
        <w:rPr>
          <w:rFonts w:ascii="Times New Roman" w:eastAsia="Times New Roman" w:hAnsi="Times New Roman"/>
          <w:sz w:val="24"/>
          <w:szCs w:val="24"/>
        </w:rPr>
      </w:pPr>
    </w:p>
    <w:p w:rsidR="007254A4" w:rsidRPr="007A09CF" w:rsidRDefault="007254A4" w:rsidP="00EA1376">
      <w:pPr>
        <w:pStyle w:val="Default"/>
        <w:spacing w:after="200"/>
        <w:rPr>
          <w:color w:val="auto"/>
          <w:shd w:val="clear" w:color="auto" w:fill="FFFFFF"/>
        </w:rPr>
      </w:pPr>
      <w:r w:rsidRPr="007A09CF">
        <w:rPr>
          <w:color w:val="auto"/>
          <w:shd w:val="clear" w:color="auto" w:fill="FFFFFF"/>
        </w:rPr>
        <w:t>BRASIL. Ministério do Planejamento, Orçamento e Gestão. Instituto Brasileiro de Geografia e Estatística. Contagem Populacional. Disponível em: &lt;http://www.sidra.ibge.gov.br/bda/popul</w:t>
      </w:r>
      <w:r w:rsidRPr="007A09CF">
        <w:rPr>
          <w:color w:val="auto"/>
        </w:rPr>
        <w:t>&gt;</w:t>
      </w:r>
      <w:r w:rsidRPr="007A09CF">
        <w:rPr>
          <w:rStyle w:val="apple-converted-space"/>
          <w:color w:val="auto"/>
          <w:shd w:val="clear" w:color="auto" w:fill="FFFFFF"/>
        </w:rPr>
        <w:t> </w:t>
      </w:r>
      <w:r w:rsidR="00652E34">
        <w:rPr>
          <w:color w:val="auto"/>
          <w:shd w:val="clear" w:color="auto" w:fill="FFFFFF"/>
        </w:rPr>
        <w:t>Acesso</w:t>
      </w:r>
      <w:r w:rsidR="0076682E" w:rsidRPr="007A09CF">
        <w:rPr>
          <w:color w:val="auto"/>
          <w:shd w:val="clear" w:color="auto" w:fill="FFFFFF"/>
        </w:rPr>
        <w:t xml:space="preserve"> em fevereiro de 2015</w:t>
      </w:r>
      <w:r w:rsidRPr="007A09CF">
        <w:rPr>
          <w:color w:val="auto"/>
          <w:shd w:val="clear" w:color="auto" w:fill="FFFFFF"/>
        </w:rPr>
        <w:t>.</w:t>
      </w:r>
    </w:p>
    <w:p w:rsidR="007254A4" w:rsidRPr="007A09CF" w:rsidRDefault="007254A4" w:rsidP="00EA1376">
      <w:pPr>
        <w:pStyle w:val="Default"/>
        <w:spacing w:after="200"/>
        <w:rPr>
          <w:color w:val="auto"/>
          <w:shd w:val="clear" w:color="auto" w:fill="FFFFFF"/>
        </w:rPr>
      </w:pPr>
    </w:p>
    <w:p w:rsidR="007254A4" w:rsidRPr="007A09CF" w:rsidRDefault="007254A4" w:rsidP="00EA1376">
      <w:pPr>
        <w:spacing w:line="240" w:lineRule="auto"/>
        <w:rPr>
          <w:rFonts w:ascii="Times New Roman" w:hAnsi="Times New Roman"/>
          <w:sz w:val="24"/>
          <w:szCs w:val="24"/>
        </w:rPr>
      </w:pPr>
      <w:r w:rsidRPr="007A09CF">
        <w:rPr>
          <w:rFonts w:ascii="Times New Roman" w:hAnsi="Times New Roman"/>
          <w:sz w:val="24"/>
          <w:szCs w:val="24"/>
        </w:rPr>
        <w:t>BRASIL. Normas para a Realização de Pesquisa em Seres Humanos. CONSELHO NACIONAL DE SAÚDE. RESOLUÇÃO 196/96. 1996.</w:t>
      </w:r>
    </w:p>
    <w:p w:rsidR="007254A4" w:rsidRPr="007A09CF" w:rsidRDefault="007254A4" w:rsidP="00EA1376">
      <w:pPr>
        <w:spacing w:line="240" w:lineRule="auto"/>
        <w:rPr>
          <w:rFonts w:ascii="Times New Roman" w:hAnsi="Times New Roman"/>
          <w:sz w:val="24"/>
          <w:szCs w:val="24"/>
        </w:rPr>
      </w:pPr>
    </w:p>
    <w:p w:rsidR="007254A4" w:rsidRDefault="007254A4" w:rsidP="00EA1376">
      <w:pPr>
        <w:spacing w:line="240" w:lineRule="auto"/>
        <w:rPr>
          <w:rFonts w:ascii="Times New Roman" w:hAnsi="Times New Roman"/>
          <w:sz w:val="24"/>
          <w:szCs w:val="24"/>
        </w:rPr>
      </w:pPr>
      <w:r w:rsidRPr="007A09CF">
        <w:rPr>
          <w:rFonts w:ascii="Times New Roman" w:hAnsi="Times New Roman"/>
          <w:sz w:val="24"/>
          <w:szCs w:val="24"/>
        </w:rPr>
        <w:lastRenderedPageBreak/>
        <w:t xml:space="preserve">CARVALHO, J.A.M.; GARCIA, R.A. O envelhecimento da população brasileira: um enfoque demográfico. </w:t>
      </w:r>
      <w:proofErr w:type="spellStart"/>
      <w:r w:rsidRPr="007A09CF">
        <w:rPr>
          <w:rFonts w:ascii="Times New Roman" w:hAnsi="Times New Roman"/>
          <w:sz w:val="24"/>
          <w:szCs w:val="24"/>
        </w:rPr>
        <w:t>Cad</w:t>
      </w:r>
      <w:proofErr w:type="spellEnd"/>
      <w:r w:rsidR="005B0096" w:rsidRPr="007A09CF">
        <w:rPr>
          <w:rFonts w:ascii="Times New Roman" w:hAnsi="Times New Roman"/>
          <w:sz w:val="24"/>
          <w:szCs w:val="24"/>
        </w:rPr>
        <w:t xml:space="preserve"> </w:t>
      </w:r>
      <w:proofErr w:type="spellStart"/>
      <w:r w:rsidRPr="007A09CF">
        <w:rPr>
          <w:rFonts w:ascii="Times New Roman" w:hAnsi="Times New Roman"/>
          <w:sz w:val="24"/>
          <w:szCs w:val="24"/>
        </w:rPr>
        <w:t>Saude</w:t>
      </w:r>
      <w:proofErr w:type="spellEnd"/>
      <w:r w:rsidRPr="007A09CF">
        <w:rPr>
          <w:rFonts w:ascii="Times New Roman" w:hAnsi="Times New Roman"/>
          <w:sz w:val="24"/>
          <w:szCs w:val="24"/>
        </w:rPr>
        <w:t xml:space="preserve"> Publica, </w:t>
      </w:r>
      <w:r w:rsidR="00652E34" w:rsidRPr="00652E34">
        <w:rPr>
          <w:rFonts w:ascii="Times New Roman" w:hAnsi="Times New Roman"/>
          <w:sz w:val="24"/>
          <w:szCs w:val="24"/>
        </w:rPr>
        <w:t>v. 19, n. 3, p. 725-733, 2003.</w:t>
      </w:r>
    </w:p>
    <w:p w:rsidR="00E02DB8" w:rsidRDefault="00E02DB8" w:rsidP="00EA1376">
      <w:pPr>
        <w:spacing w:line="240" w:lineRule="auto"/>
        <w:rPr>
          <w:rFonts w:ascii="Times New Roman" w:hAnsi="Times New Roman"/>
          <w:sz w:val="24"/>
          <w:szCs w:val="24"/>
        </w:rPr>
      </w:pPr>
    </w:p>
    <w:p w:rsidR="00652E34" w:rsidRPr="007A09CF" w:rsidRDefault="00652E34" w:rsidP="00EA1376">
      <w:pPr>
        <w:spacing w:after="20" w:line="240" w:lineRule="auto"/>
        <w:outlineLvl w:val="0"/>
        <w:rPr>
          <w:rFonts w:ascii="Times New Roman" w:eastAsia="Times New Roman" w:hAnsi="Times New Roman"/>
          <w:sz w:val="24"/>
          <w:szCs w:val="24"/>
          <w:lang w:val="en-US"/>
        </w:rPr>
      </w:pPr>
      <w:r w:rsidRPr="007A09CF">
        <w:rPr>
          <w:rFonts w:ascii="Times New Roman" w:eastAsia="Times New Roman" w:hAnsi="Times New Roman"/>
          <w:sz w:val="24"/>
          <w:szCs w:val="24"/>
        </w:rPr>
        <w:t>COUTINHO, J.G., et al.</w:t>
      </w:r>
      <w:r w:rsidRPr="00652E34">
        <w:rPr>
          <w:rFonts w:ascii="Times New Roman" w:eastAsia="Times New Roman" w:hAnsi="Times New Roman"/>
          <w:sz w:val="24"/>
          <w:szCs w:val="24"/>
          <w:lang w:val="en-US"/>
        </w:rPr>
        <w:t xml:space="preserve"> A </w:t>
      </w:r>
      <w:proofErr w:type="spellStart"/>
      <w:r w:rsidRPr="00652E34">
        <w:rPr>
          <w:rFonts w:ascii="Times New Roman" w:eastAsia="Times New Roman" w:hAnsi="Times New Roman"/>
          <w:sz w:val="24"/>
          <w:szCs w:val="24"/>
          <w:lang w:val="en-US"/>
        </w:rPr>
        <w:t>desnutrição</w:t>
      </w:r>
      <w:proofErr w:type="spellEnd"/>
      <w:r w:rsidRPr="00652E34">
        <w:rPr>
          <w:rFonts w:ascii="Times New Roman" w:eastAsia="Times New Roman" w:hAnsi="Times New Roman"/>
          <w:sz w:val="24"/>
          <w:szCs w:val="24"/>
          <w:lang w:val="en-US"/>
        </w:rPr>
        <w:t xml:space="preserve"> e </w:t>
      </w:r>
      <w:proofErr w:type="spellStart"/>
      <w:r w:rsidRPr="00652E34">
        <w:rPr>
          <w:rFonts w:ascii="Times New Roman" w:eastAsia="Times New Roman" w:hAnsi="Times New Roman"/>
          <w:sz w:val="24"/>
          <w:szCs w:val="24"/>
          <w:lang w:val="en-US"/>
        </w:rPr>
        <w:t>obesidade</w:t>
      </w:r>
      <w:proofErr w:type="spellEnd"/>
      <w:r w:rsidRPr="00652E34">
        <w:rPr>
          <w:rFonts w:ascii="Times New Roman" w:eastAsia="Times New Roman" w:hAnsi="Times New Roman"/>
          <w:sz w:val="24"/>
          <w:szCs w:val="24"/>
          <w:lang w:val="en-US"/>
        </w:rPr>
        <w:t xml:space="preserve"> no </w:t>
      </w:r>
      <w:proofErr w:type="spellStart"/>
      <w:r w:rsidRPr="00652E34">
        <w:rPr>
          <w:rFonts w:ascii="Times New Roman" w:eastAsia="Times New Roman" w:hAnsi="Times New Roman"/>
          <w:sz w:val="24"/>
          <w:szCs w:val="24"/>
          <w:lang w:val="en-US"/>
        </w:rPr>
        <w:t>Brasil</w:t>
      </w:r>
      <w:proofErr w:type="spellEnd"/>
      <w:r w:rsidRPr="00652E34">
        <w:rPr>
          <w:rFonts w:ascii="Times New Roman" w:eastAsia="Times New Roman" w:hAnsi="Times New Roman"/>
          <w:sz w:val="24"/>
          <w:szCs w:val="24"/>
          <w:lang w:val="en-US"/>
        </w:rPr>
        <w:t xml:space="preserve">: o </w:t>
      </w:r>
      <w:proofErr w:type="spellStart"/>
      <w:r w:rsidRPr="00652E34">
        <w:rPr>
          <w:rFonts w:ascii="Times New Roman" w:eastAsia="Times New Roman" w:hAnsi="Times New Roman"/>
          <w:sz w:val="24"/>
          <w:szCs w:val="24"/>
          <w:lang w:val="en-US"/>
        </w:rPr>
        <w:t>enfrentamento</w:t>
      </w:r>
      <w:proofErr w:type="spellEnd"/>
      <w:r w:rsidRPr="00652E34">
        <w:rPr>
          <w:rFonts w:ascii="Times New Roman" w:eastAsia="Times New Roman" w:hAnsi="Times New Roman"/>
          <w:sz w:val="24"/>
          <w:szCs w:val="24"/>
          <w:lang w:val="en-US"/>
        </w:rPr>
        <w:t xml:space="preserve"> com base </w:t>
      </w:r>
      <w:proofErr w:type="spellStart"/>
      <w:r w:rsidRPr="00652E34">
        <w:rPr>
          <w:rFonts w:ascii="Times New Roman" w:eastAsia="Times New Roman" w:hAnsi="Times New Roman"/>
          <w:sz w:val="24"/>
          <w:szCs w:val="24"/>
          <w:lang w:val="en-US"/>
        </w:rPr>
        <w:t>na</w:t>
      </w:r>
      <w:proofErr w:type="spellEnd"/>
      <w:r w:rsidRPr="00652E34">
        <w:rPr>
          <w:rFonts w:ascii="Times New Roman" w:eastAsia="Times New Roman" w:hAnsi="Times New Roman"/>
          <w:sz w:val="24"/>
          <w:szCs w:val="24"/>
          <w:lang w:val="en-US"/>
        </w:rPr>
        <w:t xml:space="preserve"> agenda </w:t>
      </w:r>
      <w:proofErr w:type="spellStart"/>
      <w:r w:rsidRPr="00652E34">
        <w:rPr>
          <w:rFonts w:ascii="Times New Roman" w:eastAsia="Times New Roman" w:hAnsi="Times New Roman"/>
          <w:sz w:val="24"/>
          <w:szCs w:val="24"/>
          <w:lang w:val="en-US"/>
        </w:rPr>
        <w:t>única</w:t>
      </w:r>
      <w:proofErr w:type="spellEnd"/>
      <w:r w:rsidRPr="00652E34">
        <w:rPr>
          <w:rFonts w:ascii="Times New Roman" w:eastAsia="Times New Roman" w:hAnsi="Times New Roman"/>
          <w:sz w:val="24"/>
          <w:szCs w:val="24"/>
          <w:lang w:val="en-US"/>
        </w:rPr>
        <w:t xml:space="preserve"> da </w:t>
      </w:r>
      <w:proofErr w:type="spellStart"/>
      <w:r w:rsidRPr="00652E34">
        <w:rPr>
          <w:rFonts w:ascii="Times New Roman" w:eastAsia="Times New Roman" w:hAnsi="Times New Roman"/>
          <w:sz w:val="24"/>
          <w:szCs w:val="24"/>
          <w:lang w:val="en-US"/>
        </w:rPr>
        <w:t>nutrição</w:t>
      </w:r>
      <w:proofErr w:type="spellEnd"/>
      <w:r w:rsidRPr="00652E34">
        <w:rPr>
          <w:rFonts w:ascii="Times New Roman" w:eastAsia="Times New Roman" w:hAnsi="Times New Roman"/>
          <w:sz w:val="24"/>
          <w:szCs w:val="24"/>
          <w:lang w:val="en-US"/>
        </w:rPr>
        <w:t xml:space="preserve"> Malnutrition and obesity in Brazil: dealing with the problem through. Cad. </w:t>
      </w:r>
      <w:proofErr w:type="spellStart"/>
      <w:r w:rsidRPr="00652E34">
        <w:rPr>
          <w:rFonts w:ascii="Times New Roman" w:eastAsia="Times New Roman" w:hAnsi="Times New Roman"/>
          <w:sz w:val="24"/>
          <w:szCs w:val="24"/>
          <w:lang w:val="en-US"/>
        </w:rPr>
        <w:t>Saúde</w:t>
      </w:r>
      <w:proofErr w:type="spellEnd"/>
      <w:r w:rsidRPr="00652E34">
        <w:rPr>
          <w:rFonts w:ascii="Times New Roman" w:eastAsia="Times New Roman" w:hAnsi="Times New Roman"/>
          <w:sz w:val="24"/>
          <w:szCs w:val="24"/>
          <w:lang w:val="en-US"/>
        </w:rPr>
        <w:t xml:space="preserve"> </w:t>
      </w:r>
      <w:proofErr w:type="spellStart"/>
      <w:r w:rsidRPr="00652E34">
        <w:rPr>
          <w:rFonts w:ascii="Times New Roman" w:eastAsia="Times New Roman" w:hAnsi="Times New Roman"/>
          <w:sz w:val="24"/>
          <w:szCs w:val="24"/>
          <w:lang w:val="en-US"/>
        </w:rPr>
        <w:t>Pública</w:t>
      </w:r>
      <w:proofErr w:type="spellEnd"/>
      <w:r w:rsidRPr="00652E34">
        <w:rPr>
          <w:rFonts w:ascii="Times New Roman" w:eastAsia="Times New Roman" w:hAnsi="Times New Roman"/>
          <w:sz w:val="24"/>
          <w:szCs w:val="24"/>
          <w:lang w:val="en-US"/>
        </w:rPr>
        <w:t>, v. 24, n. Sup 2, p. S332-S340, 2008.</w:t>
      </w:r>
    </w:p>
    <w:p w:rsidR="007254A4" w:rsidRPr="007A09CF"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7A09CF" w:rsidRDefault="007254A4" w:rsidP="00EA1376">
      <w:pPr>
        <w:autoSpaceDE w:val="0"/>
        <w:autoSpaceDN w:val="0"/>
        <w:adjustRightInd w:val="0"/>
        <w:spacing w:after="0" w:line="240" w:lineRule="auto"/>
        <w:rPr>
          <w:rFonts w:ascii="Times New Roman" w:hAnsi="Times New Roman"/>
          <w:sz w:val="24"/>
          <w:szCs w:val="24"/>
          <w:lang w:val="en-US"/>
        </w:rPr>
      </w:pPr>
    </w:p>
    <w:p w:rsidR="00652E34" w:rsidRDefault="00652E34" w:rsidP="00EA1376">
      <w:pPr>
        <w:spacing w:line="240" w:lineRule="auto"/>
        <w:rPr>
          <w:rFonts w:ascii="Times New Roman" w:hAnsi="Times New Roman"/>
          <w:sz w:val="24"/>
          <w:szCs w:val="24"/>
          <w:lang w:val="en-US"/>
        </w:rPr>
      </w:pPr>
      <w:r w:rsidRPr="00652E34">
        <w:rPr>
          <w:rFonts w:ascii="Times New Roman" w:hAnsi="Times New Roman"/>
          <w:sz w:val="24"/>
          <w:szCs w:val="24"/>
          <w:lang w:val="en-US"/>
        </w:rPr>
        <w:t xml:space="preserve">DROR, </w:t>
      </w:r>
      <w:proofErr w:type="spellStart"/>
      <w:r w:rsidRPr="00652E34">
        <w:rPr>
          <w:rFonts w:ascii="Times New Roman" w:hAnsi="Times New Roman"/>
          <w:sz w:val="24"/>
          <w:szCs w:val="24"/>
          <w:lang w:val="en-US"/>
        </w:rPr>
        <w:t>Yosel</w:t>
      </w:r>
      <w:proofErr w:type="spellEnd"/>
      <w:r w:rsidRPr="00652E34">
        <w:rPr>
          <w:rFonts w:ascii="Times New Roman" w:hAnsi="Times New Roman"/>
          <w:sz w:val="24"/>
          <w:szCs w:val="24"/>
          <w:lang w:val="en-US"/>
        </w:rPr>
        <w:t xml:space="preserve"> et al. Macronutrient consumption and nutritional status in a selected well-established group of elderly people in a home for the aged in Israel. Journal of the American College of Nutrition, v. 15, n. </w:t>
      </w:r>
      <w:proofErr w:type="gramStart"/>
      <w:r w:rsidRPr="00652E34">
        <w:rPr>
          <w:rFonts w:ascii="Times New Roman" w:hAnsi="Times New Roman"/>
          <w:sz w:val="24"/>
          <w:szCs w:val="24"/>
          <w:lang w:val="en-US"/>
        </w:rPr>
        <w:t>5</w:t>
      </w:r>
      <w:proofErr w:type="gramEnd"/>
      <w:r w:rsidRPr="00652E34">
        <w:rPr>
          <w:rFonts w:ascii="Times New Roman" w:hAnsi="Times New Roman"/>
          <w:sz w:val="24"/>
          <w:szCs w:val="24"/>
          <w:lang w:val="en-US"/>
        </w:rPr>
        <w:t>, p. 475-480, 1996.</w:t>
      </w:r>
    </w:p>
    <w:p w:rsidR="00652E34" w:rsidRPr="007A09CF" w:rsidRDefault="00652E34" w:rsidP="00EA1376">
      <w:pPr>
        <w:spacing w:line="240" w:lineRule="auto"/>
        <w:rPr>
          <w:rFonts w:ascii="Times New Roman" w:hAnsi="Times New Roman"/>
          <w:sz w:val="24"/>
          <w:szCs w:val="24"/>
          <w:lang w:val="en-US"/>
        </w:rPr>
      </w:pPr>
    </w:p>
    <w:p w:rsidR="00EA1376" w:rsidRPr="007A09CF" w:rsidRDefault="00652E34" w:rsidP="00EA1376">
      <w:pPr>
        <w:spacing w:line="240" w:lineRule="auto"/>
        <w:rPr>
          <w:rStyle w:val="A4"/>
          <w:rFonts w:ascii="Times New Roman" w:hAnsi="Times New Roman" w:cs="Times New Roman"/>
          <w:sz w:val="24"/>
          <w:szCs w:val="24"/>
          <w:lang w:val="en-US"/>
        </w:rPr>
      </w:pPr>
      <w:r w:rsidRPr="00652E34">
        <w:rPr>
          <w:rStyle w:val="A4"/>
          <w:rFonts w:ascii="Times New Roman" w:hAnsi="Times New Roman" w:cs="Times New Roman"/>
          <w:sz w:val="24"/>
          <w:szCs w:val="24"/>
          <w:lang w:val="en-US"/>
        </w:rPr>
        <w:t xml:space="preserve">FULGONI, Victor L. Current protein intake in America: analysis of the National Health and Nutrition Examination Survey, 2003–2004. The American journal of clinical nutrition, v. 87, n. </w:t>
      </w:r>
      <w:proofErr w:type="gramStart"/>
      <w:r w:rsidRPr="00652E34">
        <w:rPr>
          <w:rStyle w:val="A4"/>
          <w:rFonts w:ascii="Times New Roman" w:hAnsi="Times New Roman" w:cs="Times New Roman"/>
          <w:sz w:val="24"/>
          <w:szCs w:val="24"/>
          <w:lang w:val="en-US"/>
        </w:rPr>
        <w:t>5</w:t>
      </w:r>
      <w:proofErr w:type="gramEnd"/>
      <w:r w:rsidRPr="00652E34">
        <w:rPr>
          <w:rStyle w:val="A4"/>
          <w:rFonts w:ascii="Times New Roman" w:hAnsi="Times New Roman" w:cs="Times New Roman"/>
          <w:sz w:val="24"/>
          <w:szCs w:val="24"/>
          <w:lang w:val="en-US"/>
        </w:rPr>
        <w:t>, p. 1554S-1557S, 2008.</w:t>
      </w:r>
    </w:p>
    <w:p w:rsidR="009079EA" w:rsidRDefault="009079EA" w:rsidP="00EA1376">
      <w:pPr>
        <w:spacing w:line="240" w:lineRule="auto"/>
        <w:rPr>
          <w:rStyle w:val="A4"/>
          <w:rFonts w:ascii="Times New Roman" w:hAnsi="Times New Roman" w:cs="Times New Roman"/>
          <w:sz w:val="24"/>
          <w:szCs w:val="24"/>
          <w:lang w:val="en-US"/>
        </w:rPr>
      </w:pPr>
    </w:p>
    <w:p w:rsidR="00652E34" w:rsidRPr="007A09CF" w:rsidRDefault="009079EA" w:rsidP="00EA1376">
      <w:pPr>
        <w:spacing w:line="240" w:lineRule="auto"/>
        <w:rPr>
          <w:rStyle w:val="A4"/>
          <w:rFonts w:ascii="Times New Roman" w:hAnsi="Times New Roman" w:cs="Times New Roman"/>
          <w:sz w:val="24"/>
          <w:szCs w:val="24"/>
          <w:lang w:val="en-US"/>
        </w:rPr>
      </w:pPr>
      <w:r w:rsidRPr="007A09CF">
        <w:rPr>
          <w:rStyle w:val="A4"/>
          <w:rFonts w:ascii="Times New Roman" w:hAnsi="Times New Roman" w:cs="Times New Roman"/>
          <w:sz w:val="24"/>
          <w:szCs w:val="24"/>
          <w:lang w:val="en-US"/>
        </w:rPr>
        <w:t>GARCÍA-ARIAS, M.T., et al</w:t>
      </w:r>
      <w:r w:rsidRPr="009079EA">
        <w:rPr>
          <w:rStyle w:val="A4"/>
          <w:rFonts w:ascii="Times New Roman" w:hAnsi="Times New Roman" w:cs="Times New Roman"/>
          <w:sz w:val="24"/>
          <w:szCs w:val="24"/>
          <w:lang w:val="en-US"/>
        </w:rPr>
        <w:t xml:space="preserve">. Daily intake of macronutrients in a group of institutionalized elderly people in León. Spain. </w:t>
      </w:r>
      <w:proofErr w:type="spellStart"/>
      <w:r w:rsidRPr="009079EA">
        <w:rPr>
          <w:rStyle w:val="A4"/>
          <w:rFonts w:ascii="Times New Roman" w:hAnsi="Times New Roman" w:cs="Times New Roman"/>
          <w:sz w:val="24"/>
          <w:szCs w:val="24"/>
          <w:lang w:val="en-US"/>
        </w:rPr>
        <w:t>Nutr</w:t>
      </w:r>
      <w:proofErr w:type="spellEnd"/>
      <w:r w:rsidRPr="009079EA">
        <w:rPr>
          <w:rStyle w:val="A4"/>
          <w:rFonts w:ascii="Times New Roman" w:hAnsi="Times New Roman" w:cs="Times New Roman"/>
          <w:sz w:val="24"/>
          <w:szCs w:val="24"/>
          <w:lang w:val="en-US"/>
        </w:rPr>
        <w:t xml:space="preserve">. </w:t>
      </w:r>
      <w:proofErr w:type="spellStart"/>
      <w:r w:rsidRPr="009079EA">
        <w:rPr>
          <w:rStyle w:val="A4"/>
          <w:rFonts w:ascii="Times New Roman" w:hAnsi="Times New Roman" w:cs="Times New Roman"/>
          <w:sz w:val="24"/>
          <w:szCs w:val="24"/>
          <w:lang w:val="en-US"/>
        </w:rPr>
        <w:t>Hosp</w:t>
      </w:r>
      <w:proofErr w:type="spellEnd"/>
      <w:r w:rsidRPr="009079EA">
        <w:rPr>
          <w:rStyle w:val="A4"/>
          <w:rFonts w:ascii="Times New Roman" w:hAnsi="Times New Roman" w:cs="Times New Roman"/>
          <w:sz w:val="24"/>
          <w:szCs w:val="24"/>
          <w:lang w:val="en-US"/>
        </w:rPr>
        <w:t xml:space="preserve">, v. 18, n. </w:t>
      </w:r>
      <w:proofErr w:type="gramStart"/>
      <w:r w:rsidRPr="009079EA">
        <w:rPr>
          <w:rStyle w:val="A4"/>
          <w:rFonts w:ascii="Times New Roman" w:hAnsi="Times New Roman" w:cs="Times New Roman"/>
          <w:sz w:val="24"/>
          <w:szCs w:val="24"/>
          <w:lang w:val="en-US"/>
        </w:rPr>
        <w:t>2</w:t>
      </w:r>
      <w:proofErr w:type="gramEnd"/>
      <w:r w:rsidRPr="009079EA">
        <w:rPr>
          <w:rStyle w:val="A4"/>
          <w:rFonts w:ascii="Times New Roman" w:hAnsi="Times New Roman" w:cs="Times New Roman"/>
          <w:sz w:val="24"/>
          <w:szCs w:val="24"/>
          <w:lang w:val="en-US"/>
        </w:rPr>
        <w:t>, p. 87-90, 2003.</w:t>
      </w:r>
    </w:p>
    <w:p w:rsidR="00EA1376" w:rsidRPr="007A09CF" w:rsidRDefault="00EA1376" w:rsidP="00EA1376">
      <w:pPr>
        <w:spacing w:line="240" w:lineRule="auto"/>
        <w:rPr>
          <w:rStyle w:val="A4"/>
          <w:rFonts w:ascii="Times New Roman" w:hAnsi="Times New Roman" w:cs="Times New Roman"/>
          <w:sz w:val="24"/>
          <w:szCs w:val="24"/>
          <w:lang w:val="en-US"/>
        </w:rPr>
      </w:pPr>
    </w:p>
    <w:p w:rsidR="003B5348" w:rsidRPr="007A09CF" w:rsidRDefault="003B5348" w:rsidP="00EA1376">
      <w:pPr>
        <w:spacing w:line="240" w:lineRule="auto"/>
        <w:rPr>
          <w:rFonts w:ascii="Times New Roman" w:hAnsi="Times New Roman"/>
          <w:sz w:val="24"/>
          <w:szCs w:val="24"/>
        </w:rPr>
      </w:pPr>
      <w:r w:rsidRPr="007A09CF">
        <w:rPr>
          <w:rFonts w:ascii="Times New Roman" w:hAnsi="Times New Roman"/>
          <w:sz w:val="24"/>
          <w:szCs w:val="24"/>
        </w:rPr>
        <w:t>IBGE. Instituto Brasileiro de Geografia e Estatística (IBGE). Dados preliminares do censo 2010. Disponível em: &lt;</w:t>
      </w:r>
      <w:hyperlink r:id="rId6" w:tgtFrame="_blank" w:history="1">
        <w:r w:rsidRPr="007A09CF">
          <w:rPr>
            <w:rStyle w:val="Hyperlink"/>
            <w:rFonts w:ascii="Times New Roman" w:hAnsi="Times New Roman"/>
            <w:color w:val="auto"/>
            <w:sz w:val="24"/>
            <w:szCs w:val="24"/>
          </w:rPr>
          <w:t>http://www.ibge.gov.br</w:t>
        </w:r>
      </w:hyperlink>
      <w:r w:rsidRPr="007A09CF">
        <w:rPr>
          <w:rFonts w:ascii="Times New Roman" w:hAnsi="Times New Roman"/>
          <w:sz w:val="24"/>
          <w:szCs w:val="24"/>
        </w:rPr>
        <w:t xml:space="preserve">&gt;. Acesso em: </w:t>
      </w:r>
      <w:r w:rsidR="0076682E" w:rsidRPr="007A09CF">
        <w:rPr>
          <w:rFonts w:ascii="Times New Roman" w:hAnsi="Times New Roman"/>
          <w:sz w:val="24"/>
          <w:szCs w:val="24"/>
        </w:rPr>
        <w:t>20 janeiro de 2015</w:t>
      </w:r>
      <w:r w:rsidRPr="007A09CF">
        <w:rPr>
          <w:rFonts w:ascii="Times New Roman" w:hAnsi="Times New Roman"/>
          <w:sz w:val="24"/>
          <w:szCs w:val="24"/>
        </w:rPr>
        <w:t>.</w:t>
      </w:r>
    </w:p>
    <w:p w:rsidR="00EA1376" w:rsidRPr="007A09CF" w:rsidRDefault="00EA1376" w:rsidP="00EA1376">
      <w:pPr>
        <w:spacing w:after="20" w:line="240" w:lineRule="auto"/>
        <w:outlineLvl w:val="0"/>
        <w:rPr>
          <w:rStyle w:val="A4"/>
          <w:rFonts w:ascii="Times New Roman" w:hAnsi="Times New Roman" w:cs="Times New Roman"/>
          <w:sz w:val="24"/>
          <w:szCs w:val="24"/>
        </w:rPr>
      </w:pPr>
    </w:p>
    <w:p w:rsidR="003B5348" w:rsidRPr="007A09CF" w:rsidRDefault="003B5348" w:rsidP="00EA1376">
      <w:pPr>
        <w:spacing w:after="20" w:line="240" w:lineRule="auto"/>
        <w:outlineLvl w:val="0"/>
        <w:rPr>
          <w:rFonts w:ascii="Times New Roman" w:eastAsia="Times New Roman" w:hAnsi="Times New Roman"/>
          <w:sz w:val="24"/>
          <w:szCs w:val="24"/>
        </w:rPr>
      </w:pPr>
      <w:r w:rsidRPr="007A09CF">
        <w:rPr>
          <w:rFonts w:ascii="Times New Roman" w:eastAsia="Times New Roman" w:hAnsi="Times New Roman"/>
          <w:sz w:val="24"/>
          <w:szCs w:val="24"/>
        </w:rPr>
        <w:t xml:space="preserve">IBGE.Instituto Brasileiro de Geografia e Estatística (IBGE). Diretoria de Pesquisas, Coordenação de Trabalho e Rendimento. Pesquisa de Orçamentos Familiares 2008-2009. Disponível em: http://www.ibge.gov.br/home/xml/pof_2008_2009.shtm. Acesso em: </w:t>
      </w:r>
      <w:r w:rsidR="0076682E" w:rsidRPr="007A09CF">
        <w:rPr>
          <w:rFonts w:ascii="Times New Roman" w:eastAsia="Times New Roman" w:hAnsi="Times New Roman"/>
          <w:sz w:val="24"/>
          <w:szCs w:val="24"/>
        </w:rPr>
        <w:t xml:space="preserve">27 de </w:t>
      </w:r>
      <w:proofErr w:type="gramStart"/>
      <w:r w:rsidR="0076682E" w:rsidRPr="007A09CF">
        <w:rPr>
          <w:rFonts w:ascii="Times New Roman" w:eastAsia="Times New Roman" w:hAnsi="Times New Roman"/>
          <w:sz w:val="24"/>
          <w:szCs w:val="24"/>
        </w:rPr>
        <w:t>Março</w:t>
      </w:r>
      <w:proofErr w:type="gramEnd"/>
      <w:r w:rsidR="0076682E" w:rsidRPr="007A09CF">
        <w:rPr>
          <w:rFonts w:ascii="Times New Roman" w:eastAsia="Times New Roman" w:hAnsi="Times New Roman"/>
          <w:sz w:val="24"/>
          <w:szCs w:val="24"/>
        </w:rPr>
        <w:t xml:space="preserve"> de 2015</w:t>
      </w:r>
      <w:r w:rsidRPr="007A09CF">
        <w:rPr>
          <w:rFonts w:ascii="Times New Roman" w:eastAsia="Times New Roman" w:hAnsi="Times New Roman"/>
          <w:sz w:val="24"/>
          <w:szCs w:val="24"/>
        </w:rPr>
        <w:t>.</w:t>
      </w:r>
    </w:p>
    <w:p w:rsidR="00EA1376" w:rsidRPr="007A09CF" w:rsidRDefault="00EA1376" w:rsidP="00EA1376">
      <w:pPr>
        <w:spacing w:line="240" w:lineRule="auto"/>
        <w:rPr>
          <w:rFonts w:ascii="Times New Roman" w:hAnsi="Times New Roman"/>
          <w:sz w:val="24"/>
          <w:szCs w:val="24"/>
        </w:rPr>
      </w:pPr>
    </w:p>
    <w:p w:rsidR="00EA1376" w:rsidRDefault="009079EA" w:rsidP="00EA1376">
      <w:pPr>
        <w:spacing w:line="240" w:lineRule="auto"/>
        <w:rPr>
          <w:rFonts w:ascii="Times New Roman" w:hAnsi="Times New Roman"/>
          <w:sz w:val="24"/>
          <w:szCs w:val="24"/>
          <w:lang w:val="en-US"/>
        </w:rPr>
      </w:pPr>
      <w:r>
        <w:rPr>
          <w:rFonts w:ascii="Times New Roman" w:hAnsi="Times New Roman"/>
          <w:sz w:val="24"/>
          <w:szCs w:val="24"/>
          <w:lang w:val="en-US"/>
        </w:rPr>
        <w:t>ZIMMET, P. Z. et al.,</w:t>
      </w:r>
      <w:r w:rsidRPr="009079EA">
        <w:rPr>
          <w:rFonts w:ascii="Times New Roman" w:hAnsi="Times New Roman"/>
          <w:sz w:val="24"/>
          <w:szCs w:val="24"/>
          <w:lang w:val="en-US"/>
        </w:rPr>
        <w:t xml:space="preserve"> International Diabetes Federation: the IDF consensus worldwide definition of the metabolic syndrome. Diabetes voice, v. 50, p. 31-33, 2005.</w:t>
      </w:r>
    </w:p>
    <w:p w:rsidR="009079EA" w:rsidRPr="007A09CF" w:rsidRDefault="009079EA" w:rsidP="00EA1376">
      <w:pPr>
        <w:spacing w:line="240" w:lineRule="auto"/>
        <w:rPr>
          <w:rFonts w:ascii="Times New Roman" w:hAnsi="Times New Roman"/>
          <w:sz w:val="24"/>
          <w:szCs w:val="24"/>
          <w:lang w:val="en-US"/>
        </w:rPr>
      </w:pPr>
    </w:p>
    <w:p w:rsidR="009079EA" w:rsidRDefault="009079EA" w:rsidP="00EA1376">
      <w:pPr>
        <w:spacing w:line="240" w:lineRule="auto"/>
        <w:rPr>
          <w:rStyle w:val="A4"/>
          <w:rFonts w:ascii="Times New Roman" w:hAnsi="Times New Roman" w:cs="Times New Roman"/>
          <w:sz w:val="24"/>
          <w:szCs w:val="24"/>
          <w:lang w:val="en-US"/>
        </w:rPr>
      </w:pPr>
      <w:r w:rsidRPr="009079EA">
        <w:rPr>
          <w:rStyle w:val="A4"/>
          <w:rFonts w:ascii="Times New Roman" w:hAnsi="Times New Roman" w:cs="Times New Roman"/>
          <w:sz w:val="24"/>
          <w:szCs w:val="24"/>
          <w:lang w:val="en-US"/>
        </w:rPr>
        <w:t>TRUMBO, Paula et al. Dietary reference intakes for energy, carbohydrate, fiber, fat, fatty acids, cholesterol, protein and amino acids. Journal of the American Dietetic Association, v. 102, n. 11, p. 1621-1630, 2002.</w:t>
      </w:r>
    </w:p>
    <w:p w:rsidR="009079EA" w:rsidRDefault="009079EA" w:rsidP="00EA1376">
      <w:pPr>
        <w:spacing w:before="100" w:beforeAutospacing="1" w:after="109" w:line="240" w:lineRule="auto"/>
        <w:rPr>
          <w:rFonts w:ascii="Times New Roman" w:hAnsi="Times New Roman"/>
          <w:sz w:val="24"/>
          <w:szCs w:val="24"/>
        </w:rPr>
      </w:pPr>
    </w:p>
    <w:p w:rsidR="00EA1376" w:rsidRDefault="009079EA" w:rsidP="00EA1376">
      <w:pPr>
        <w:autoSpaceDE w:val="0"/>
        <w:autoSpaceDN w:val="0"/>
        <w:adjustRightInd w:val="0"/>
        <w:spacing w:after="0" w:line="240" w:lineRule="auto"/>
        <w:rPr>
          <w:rFonts w:ascii="Times New Roman" w:hAnsi="Times New Roman"/>
          <w:sz w:val="24"/>
          <w:szCs w:val="24"/>
        </w:rPr>
      </w:pPr>
      <w:r w:rsidRPr="009079EA">
        <w:rPr>
          <w:rFonts w:ascii="Times New Roman" w:hAnsi="Times New Roman"/>
          <w:sz w:val="24"/>
          <w:szCs w:val="24"/>
        </w:rPr>
        <w:t xml:space="preserve">KÜMPEL, Daiana Argenta et al. Obesidade em idosos acompanhados pela Estratégia de Saúde da Família. Texto Contexto </w:t>
      </w:r>
      <w:proofErr w:type="spellStart"/>
      <w:r w:rsidRPr="009079EA">
        <w:rPr>
          <w:rFonts w:ascii="Times New Roman" w:hAnsi="Times New Roman"/>
          <w:sz w:val="24"/>
          <w:szCs w:val="24"/>
        </w:rPr>
        <w:t>Enferm</w:t>
      </w:r>
      <w:proofErr w:type="spellEnd"/>
      <w:r w:rsidRPr="009079EA">
        <w:rPr>
          <w:rFonts w:ascii="Times New Roman" w:hAnsi="Times New Roman"/>
          <w:sz w:val="24"/>
          <w:szCs w:val="24"/>
        </w:rPr>
        <w:t>, v. 20, n. 3, p. 271-7, 2011.</w:t>
      </w:r>
    </w:p>
    <w:p w:rsidR="009079EA" w:rsidRDefault="009079EA" w:rsidP="00EA1376">
      <w:pPr>
        <w:autoSpaceDE w:val="0"/>
        <w:autoSpaceDN w:val="0"/>
        <w:adjustRightInd w:val="0"/>
        <w:spacing w:after="0" w:line="240" w:lineRule="auto"/>
        <w:rPr>
          <w:rFonts w:ascii="Times New Roman" w:hAnsi="Times New Roman"/>
          <w:sz w:val="24"/>
          <w:szCs w:val="24"/>
        </w:rPr>
      </w:pPr>
    </w:p>
    <w:p w:rsidR="009079EA" w:rsidRPr="007A09CF" w:rsidRDefault="009079EA" w:rsidP="00EA1376">
      <w:pPr>
        <w:autoSpaceDE w:val="0"/>
        <w:autoSpaceDN w:val="0"/>
        <w:adjustRightInd w:val="0"/>
        <w:spacing w:after="0" w:line="240" w:lineRule="auto"/>
        <w:rPr>
          <w:rFonts w:ascii="Times New Roman" w:hAnsi="Times New Roman"/>
          <w:sz w:val="24"/>
          <w:szCs w:val="24"/>
          <w:lang w:val="en-US"/>
        </w:rPr>
      </w:pPr>
    </w:p>
    <w:p w:rsidR="007254A4" w:rsidRPr="007A09CF" w:rsidRDefault="007254A4" w:rsidP="00EA1376">
      <w:pPr>
        <w:autoSpaceDE w:val="0"/>
        <w:autoSpaceDN w:val="0"/>
        <w:adjustRightInd w:val="0"/>
        <w:spacing w:after="0" w:line="240" w:lineRule="auto"/>
        <w:rPr>
          <w:rFonts w:ascii="Times New Roman" w:hAnsi="Times New Roman"/>
          <w:noProof/>
          <w:sz w:val="24"/>
          <w:szCs w:val="24"/>
        </w:rPr>
      </w:pPr>
      <w:r w:rsidRPr="007A09CF">
        <w:rPr>
          <w:rFonts w:ascii="Times New Roman" w:hAnsi="Times New Roman"/>
          <w:noProof/>
          <w:sz w:val="24"/>
          <w:szCs w:val="24"/>
          <w:lang w:val="en-US"/>
        </w:rPr>
        <w:lastRenderedPageBreak/>
        <w:t xml:space="preserve">LIPSCHITZ, D.A. Screening for nutritional status in the elderly. </w:t>
      </w:r>
      <w:r w:rsidRPr="007A09CF">
        <w:rPr>
          <w:rFonts w:ascii="Times New Roman" w:hAnsi="Times New Roman"/>
          <w:noProof/>
          <w:sz w:val="24"/>
          <w:szCs w:val="24"/>
        </w:rPr>
        <w:t>Prim care,vol.21, n.1,p.55-67. 1994.</w:t>
      </w:r>
    </w:p>
    <w:p w:rsidR="00C40AB4" w:rsidRPr="007A09CF" w:rsidRDefault="00C40AB4" w:rsidP="00EA1376">
      <w:pPr>
        <w:autoSpaceDE w:val="0"/>
        <w:autoSpaceDN w:val="0"/>
        <w:adjustRightInd w:val="0"/>
        <w:spacing w:after="0" w:line="240" w:lineRule="auto"/>
        <w:rPr>
          <w:rFonts w:ascii="Times New Roman" w:hAnsi="Times New Roman"/>
          <w:noProof/>
          <w:sz w:val="24"/>
          <w:szCs w:val="24"/>
        </w:rPr>
      </w:pPr>
    </w:p>
    <w:p w:rsidR="00EA1376" w:rsidRPr="007A09CF" w:rsidRDefault="00EA1376" w:rsidP="00EA1376">
      <w:pPr>
        <w:autoSpaceDE w:val="0"/>
        <w:autoSpaceDN w:val="0"/>
        <w:adjustRightInd w:val="0"/>
        <w:spacing w:after="0" w:line="240" w:lineRule="auto"/>
        <w:rPr>
          <w:rFonts w:ascii="Times New Roman" w:hAnsi="Times New Roman"/>
          <w:noProof/>
          <w:sz w:val="24"/>
          <w:szCs w:val="24"/>
        </w:rPr>
      </w:pPr>
    </w:p>
    <w:p w:rsidR="009079EA" w:rsidRPr="007A09CF" w:rsidRDefault="009079EA" w:rsidP="00EA1376">
      <w:pPr>
        <w:autoSpaceDE w:val="0"/>
        <w:autoSpaceDN w:val="0"/>
        <w:adjustRightInd w:val="0"/>
        <w:spacing w:after="0" w:line="240" w:lineRule="auto"/>
        <w:rPr>
          <w:rFonts w:ascii="Times New Roman" w:hAnsi="Times New Roman"/>
          <w:sz w:val="24"/>
          <w:szCs w:val="24"/>
        </w:rPr>
      </w:pPr>
      <w:r w:rsidRPr="009079EA">
        <w:rPr>
          <w:rFonts w:ascii="Times New Roman" w:hAnsi="Times New Roman"/>
          <w:sz w:val="24"/>
          <w:szCs w:val="24"/>
        </w:rPr>
        <w:t xml:space="preserve">LOPES, Aline Cristine Souza et al. Consumo de nutrientes em adultos e idosos em estudo de base populacional: Projeto Bambuí </w:t>
      </w:r>
      <w:proofErr w:type="spellStart"/>
      <w:r w:rsidRPr="009079EA">
        <w:rPr>
          <w:rFonts w:ascii="Times New Roman" w:hAnsi="Times New Roman"/>
          <w:sz w:val="24"/>
          <w:szCs w:val="24"/>
        </w:rPr>
        <w:t>Nutrient</w:t>
      </w:r>
      <w:proofErr w:type="spellEnd"/>
      <w:r w:rsidRPr="009079EA">
        <w:rPr>
          <w:rFonts w:ascii="Times New Roman" w:hAnsi="Times New Roman"/>
          <w:sz w:val="24"/>
          <w:szCs w:val="24"/>
        </w:rPr>
        <w:t xml:space="preserve"> </w:t>
      </w:r>
      <w:proofErr w:type="spellStart"/>
      <w:r w:rsidRPr="009079EA">
        <w:rPr>
          <w:rFonts w:ascii="Times New Roman" w:hAnsi="Times New Roman"/>
          <w:sz w:val="24"/>
          <w:szCs w:val="24"/>
        </w:rPr>
        <w:t>consumption</w:t>
      </w:r>
      <w:proofErr w:type="spellEnd"/>
      <w:r w:rsidRPr="009079EA">
        <w:rPr>
          <w:rFonts w:ascii="Times New Roman" w:hAnsi="Times New Roman"/>
          <w:sz w:val="24"/>
          <w:szCs w:val="24"/>
        </w:rPr>
        <w:t xml:space="preserve"> </w:t>
      </w:r>
      <w:proofErr w:type="spellStart"/>
      <w:r w:rsidRPr="009079EA">
        <w:rPr>
          <w:rFonts w:ascii="Times New Roman" w:hAnsi="Times New Roman"/>
          <w:sz w:val="24"/>
          <w:szCs w:val="24"/>
        </w:rPr>
        <w:t>by</w:t>
      </w:r>
      <w:proofErr w:type="spellEnd"/>
      <w:r w:rsidRPr="009079EA">
        <w:rPr>
          <w:rFonts w:ascii="Times New Roman" w:hAnsi="Times New Roman"/>
          <w:sz w:val="24"/>
          <w:szCs w:val="24"/>
        </w:rPr>
        <w:t xml:space="preserve"> </w:t>
      </w:r>
      <w:proofErr w:type="spellStart"/>
      <w:r w:rsidRPr="009079EA">
        <w:rPr>
          <w:rFonts w:ascii="Times New Roman" w:hAnsi="Times New Roman"/>
          <w:sz w:val="24"/>
          <w:szCs w:val="24"/>
        </w:rPr>
        <w:t>adults</w:t>
      </w:r>
      <w:proofErr w:type="spellEnd"/>
      <w:r w:rsidRPr="009079EA">
        <w:rPr>
          <w:rFonts w:ascii="Times New Roman" w:hAnsi="Times New Roman"/>
          <w:sz w:val="24"/>
          <w:szCs w:val="24"/>
        </w:rPr>
        <w:t xml:space="preserve"> and </w:t>
      </w:r>
      <w:proofErr w:type="spellStart"/>
      <w:r w:rsidRPr="009079EA">
        <w:rPr>
          <w:rFonts w:ascii="Times New Roman" w:hAnsi="Times New Roman"/>
          <w:sz w:val="24"/>
          <w:szCs w:val="24"/>
        </w:rPr>
        <w:t>seniors</w:t>
      </w:r>
      <w:proofErr w:type="spellEnd"/>
      <w:r w:rsidRPr="009079EA">
        <w:rPr>
          <w:rFonts w:ascii="Times New Roman" w:hAnsi="Times New Roman"/>
          <w:sz w:val="24"/>
          <w:szCs w:val="24"/>
        </w:rPr>
        <w:t xml:space="preserve"> in </w:t>
      </w:r>
      <w:r>
        <w:rPr>
          <w:rFonts w:ascii="Times New Roman" w:hAnsi="Times New Roman"/>
          <w:sz w:val="24"/>
          <w:szCs w:val="24"/>
        </w:rPr>
        <w:t xml:space="preserve">a </w:t>
      </w:r>
      <w:proofErr w:type="spellStart"/>
      <w:r>
        <w:rPr>
          <w:rFonts w:ascii="Times New Roman" w:hAnsi="Times New Roman"/>
          <w:sz w:val="24"/>
          <w:szCs w:val="24"/>
        </w:rPr>
        <w:t>population-based</w:t>
      </w:r>
      <w:proofErr w:type="spellEnd"/>
      <w:r>
        <w:rPr>
          <w:rFonts w:ascii="Times New Roman" w:hAnsi="Times New Roman"/>
          <w:sz w:val="24"/>
          <w:szCs w:val="24"/>
        </w:rPr>
        <w:t xml:space="preserve"> </w:t>
      </w:r>
      <w:proofErr w:type="spellStart"/>
      <w:r>
        <w:rPr>
          <w:rFonts w:ascii="Times New Roman" w:hAnsi="Times New Roman"/>
          <w:sz w:val="24"/>
          <w:szCs w:val="24"/>
        </w:rPr>
        <w:t>study</w:t>
      </w:r>
      <w:proofErr w:type="spellEnd"/>
      <w:r>
        <w:rPr>
          <w:rFonts w:ascii="Times New Roman" w:hAnsi="Times New Roman"/>
          <w:sz w:val="24"/>
          <w:szCs w:val="24"/>
        </w:rPr>
        <w:t>. Cad. Saúde P</w:t>
      </w:r>
      <w:r w:rsidRPr="009079EA">
        <w:rPr>
          <w:rFonts w:ascii="Times New Roman" w:hAnsi="Times New Roman"/>
          <w:sz w:val="24"/>
          <w:szCs w:val="24"/>
        </w:rPr>
        <w:t>ública, v. 21, n. 4, p. 1201-1209, 2005.</w:t>
      </w:r>
    </w:p>
    <w:p w:rsidR="00EA1376" w:rsidRPr="007A09CF" w:rsidRDefault="00EA1376" w:rsidP="00EA1376">
      <w:pPr>
        <w:spacing w:line="240" w:lineRule="auto"/>
        <w:rPr>
          <w:rFonts w:ascii="Times New Roman" w:hAnsi="Times New Roman"/>
          <w:noProof/>
          <w:sz w:val="24"/>
          <w:szCs w:val="24"/>
        </w:rPr>
      </w:pPr>
    </w:p>
    <w:p w:rsidR="007254A4" w:rsidRPr="007A09CF" w:rsidRDefault="007254A4" w:rsidP="00EA1376">
      <w:pPr>
        <w:spacing w:line="240" w:lineRule="auto"/>
        <w:rPr>
          <w:rFonts w:ascii="Times New Roman" w:hAnsi="Times New Roman"/>
          <w:noProof/>
          <w:sz w:val="24"/>
          <w:szCs w:val="24"/>
          <w:lang w:val="en-US"/>
        </w:rPr>
      </w:pPr>
      <w:r w:rsidRPr="007A09CF">
        <w:rPr>
          <w:rFonts w:ascii="Times New Roman" w:hAnsi="Times New Roman"/>
          <w:noProof/>
          <w:sz w:val="24"/>
          <w:szCs w:val="24"/>
        </w:rPr>
        <w:t xml:space="preserve">LOHMAN, T.G., </w:t>
      </w:r>
      <w:r w:rsidR="005B0096" w:rsidRPr="007A09CF">
        <w:rPr>
          <w:rFonts w:ascii="Times New Roman" w:hAnsi="Times New Roman"/>
          <w:noProof/>
          <w:sz w:val="24"/>
          <w:szCs w:val="24"/>
        </w:rPr>
        <w:t>et al</w:t>
      </w:r>
      <w:r w:rsidRPr="007A09CF">
        <w:rPr>
          <w:rFonts w:ascii="Times New Roman" w:hAnsi="Times New Roman"/>
          <w:noProof/>
          <w:sz w:val="24"/>
          <w:szCs w:val="24"/>
        </w:rPr>
        <w:t xml:space="preserve">. </w:t>
      </w:r>
      <w:r w:rsidRPr="007A09CF">
        <w:rPr>
          <w:rFonts w:ascii="Times New Roman" w:hAnsi="Times New Roman"/>
          <w:noProof/>
          <w:sz w:val="24"/>
          <w:szCs w:val="24"/>
          <w:lang w:val="en-US"/>
        </w:rPr>
        <w:t>Anthropometric standardization reference manual. Champaign, IL:Human Kinetics. 1991.</w:t>
      </w:r>
    </w:p>
    <w:p w:rsidR="00EA1376" w:rsidRPr="007A09CF" w:rsidRDefault="00EA1376" w:rsidP="00EA1376">
      <w:pPr>
        <w:spacing w:line="240" w:lineRule="auto"/>
        <w:rPr>
          <w:rFonts w:ascii="Times New Roman" w:hAnsi="Times New Roman"/>
          <w:sz w:val="24"/>
          <w:szCs w:val="24"/>
          <w:lang w:val="en-US"/>
        </w:rPr>
      </w:pPr>
    </w:p>
    <w:p w:rsidR="00063FB5" w:rsidRPr="007A09CF" w:rsidRDefault="00063FB5" w:rsidP="00EA1376">
      <w:pPr>
        <w:spacing w:line="240" w:lineRule="auto"/>
        <w:rPr>
          <w:rFonts w:ascii="Times New Roman" w:hAnsi="Times New Roman"/>
          <w:sz w:val="24"/>
          <w:szCs w:val="24"/>
        </w:rPr>
      </w:pPr>
      <w:r w:rsidRPr="007A09CF">
        <w:rPr>
          <w:rFonts w:ascii="Times New Roman" w:hAnsi="Times New Roman"/>
          <w:sz w:val="24"/>
          <w:szCs w:val="24"/>
          <w:lang w:val="en-US"/>
        </w:rPr>
        <w:t>MARTINS, M</w:t>
      </w:r>
      <w:r w:rsidR="009079EA">
        <w:rPr>
          <w:rFonts w:ascii="Times New Roman" w:hAnsi="Times New Roman"/>
          <w:sz w:val="24"/>
          <w:szCs w:val="24"/>
          <w:lang w:val="en-US"/>
        </w:rPr>
        <w:t>.V.</w:t>
      </w:r>
      <w:r w:rsidRPr="007A09CF">
        <w:rPr>
          <w:rFonts w:ascii="Times New Roman" w:hAnsi="Times New Roman"/>
          <w:sz w:val="24"/>
          <w:szCs w:val="24"/>
          <w:lang w:val="en-US"/>
        </w:rPr>
        <w:t xml:space="preserve"> </w:t>
      </w:r>
      <w:r w:rsidR="005B0096" w:rsidRPr="007A09CF">
        <w:rPr>
          <w:rFonts w:ascii="Times New Roman" w:hAnsi="Times New Roman"/>
          <w:sz w:val="24"/>
          <w:szCs w:val="24"/>
          <w:lang w:val="en-US"/>
        </w:rPr>
        <w:t>et al</w:t>
      </w:r>
      <w:r w:rsidRPr="007A09CF">
        <w:rPr>
          <w:rFonts w:ascii="Times New Roman" w:hAnsi="Times New Roman"/>
          <w:sz w:val="24"/>
          <w:szCs w:val="24"/>
          <w:lang w:val="en-US"/>
        </w:rPr>
        <w:t>. Anthropometric indicators of obesity as predictors of cardiovascular risk in the elderly.</w:t>
      </w:r>
      <w:proofErr w:type="spellStart"/>
      <w:r w:rsidRPr="007A09CF">
        <w:rPr>
          <w:rFonts w:ascii="Times New Roman" w:hAnsi="Times New Roman"/>
          <w:sz w:val="24"/>
          <w:szCs w:val="24"/>
        </w:rPr>
        <w:t>Nutr</w:t>
      </w:r>
      <w:proofErr w:type="spellEnd"/>
      <w:r w:rsidR="007A09CF" w:rsidRPr="007A09CF">
        <w:rPr>
          <w:rFonts w:ascii="Times New Roman" w:hAnsi="Times New Roman"/>
          <w:sz w:val="24"/>
          <w:szCs w:val="24"/>
        </w:rPr>
        <w:t xml:space="preserve"> </w:t>
      </w:r>
      <w:proofErr w:type="spellStart"/>
      <w:r w:rsidRPr="007A09CF">
        <w:rPr>
          <w:rFonts w:ascii="Times New Roman" w:hAnsi="Times New Roman"/>
          <w:sz w:val="24"/>
          <w:szCs w:val="24"/>
        </w:rPr>
        <w:t>Hosp</w:t>
      </w:r>
      <w:proofErr w:type="spellEnd"/>
      <w:r w:rsidRPr="007A09CF">
        <w:rPr>
          <w:rFonts w:ascii="Times New Roman" w:hAnsi="Times New Roman"/>
          <w:sz w:val="24"/>
          <w:szCs w:val="24"/>
        </w:rPr>
        <w:t>, v. 31, n. 6, p. 2583-2589, 2015.</w:t>
      </w:r>
    </w:p>
    <w:p w:rsidR="00063FB5" w:rsidRPr="007A09CF" w:rsidRDefault="00063FB5" w:rsidP="00EA1376">
      <w:pPr>
        <w:spacing w:line="240" w:lineRule="auto"/>
        <w:rPr>
          <w:rFonts w:ascii="Times New Roman" w:hAnsi="Times New Roman"/>
          <w:sz w:val="24"/>
          <w:szCs w:val="24"/>
        </w:rPr>
      </w:pPr>
    </w:p>
    <w:p w:rsidR="009079EA" w:rsidRPr="007A09CF" w:rsidRDefault="009079EA" w:rsidP="00EA1376">
      <w:pPr>
        <w:spacing w:line="240" w:lineRule="auto"/>
        <w:rPr>
          <w:rFonts w:ascii="Times New Roman" w:hAnsi="Times New Roman"/>
          <w:sz w:val="24"/>
          <w:szCs w:val="24"/>
        </w:rPr>
      </w:pPr>
      <w:r>
        <w:rPr>
          <w:rFonts w:ascii="Times New Roman" w:hAnsi="Times New Roman"/>
          <w:sz w:val="24"/>
          <w:szCs w:val="24"/>
        </w:rPr>
        <w:t xml:space="preserve">MOTTA, L.B.; AGUIAR, </w:t>
      </w:r>
      <w:proofErr w:type="gramStart"/>
      <w:r>
        <w:rPr>
          <w:rFonts w:ascii="Times New Roman" w:hAnsi="Times New Roman"/>
          <w:sz w:val="24"/>
          <w:szCs w:val="24"/>
        </w:rPr>
        <w:t>A.C.</w:t>
      </w:r>
      <w:r w:rsidRPr="009079EA">
        <w:rPr>
          <w:rFonts w:ascii="Times New Roman" w:hAnsi="Times New Roman"/>
          <w:sz w:val="24"/>
          <w:szCs w:val="24"/>
        </w:rPr>
        <w:t>.</w:t>
      </w:r>
      <w:proofErr w:type="gramEnd"/>
      <w:r w:rsidRPr="009079EA">
        <w:rPr>
          <w:rFonts w:ascii="Times New Roman" w:hAnsi="Times New Roman"/>
          <w:sz w:val="24"/>
          <w:szCs w:val="24"/>
        </w:rPr>
        <w:t xml:space="preserve"> Novas competências profissionais em saúde e o envelhecimento populacional brasileiro: integralidade, interdisciplinarida</w:t>
      </w:r>
      <w:r>
        <w:rPr>
          <w:rFonts w:ascii="Times New Roman" w:hAnsi="Times New Roman"/>
          <w:sz w:val="24"/>
          <w:szCs w:val="24"/>
        </w:rPr>
        <w:t xml:space="preserve">de e </w:t>
      </w:r>
      <w:proofErr w:type="spellStart"/>
      <w:r>
        <w:rPr>
          <w:rFonts w:ascii="Times New Roman" w:hAnsi="Times New Roman"/>
          <w:sz w:val="24"/>
          <w:szCs w:val="24"/>
        </w:rPr>
        <w:t>intersetorialidade</w:t>
      </w:r>
      <w:proofErr w:type="spellEnd"/>
      <w:r>
        <w:rPr>
          <w:rFonts w:ascii="Times New Roman" w:hAnsi="Times New Roman"/>
          <w:sz w:val="24"/>
          <w:szCs w:val="24"/>
        </w:rPr>
        <w:t xml:space="preserve">. </w:t>
      </w:r>
      <w:r w:rsidR="00391DCB">
        <w:rPr>
          <w:rFonts w:ascii="Times New Roman" w:eastAsia="Times New Roman" w:hAnsi="Times New Roman"/>
          <w:sz w:val="24"/>
          <w:szCs w:val="24"/>
        </w:rPr>
        <w:t xml:space="preserve">Ciênc. </w:t>
      </w:r>
      <w:proofErr w:type="gramStart"/>
      <w:r w:rsidR="00391DCB">
        <w:rPr>
          <w:rFonts w:ascii="Times New Roman" w:eastAsia="Times New Roman" w:hAnsi="Times New Roman"/>
          <w:sz w:val="24"/>
          <w:szCs w:val="24"/>
        </w:rPr>
        <w:t>saúde</w:t>
      </w:r>
      <w:proofErr w:type="gramEnd"/>
      <w:r w:rsidR="00391DCB">
        <w:rPr>
          <w:rFonts w:ascii="Times New Roman" w:eastAsia="Times New Roman" w:hAnsi="Times New Roman"/>
          <w:sz w:val="24"/>
          <w:szCs w:val="24"/>
        </w:rPr>
        <w:t xml:space="preserve"> </w:t>
      </w:r>
      <w:proofErr w:type="spellStart"/>
      <w:r w:rsidR="00391DCB">
        <w:rPr>
          <w:rFonts w:ascii="Times New Roman" w:eastAsia="Times New Roman" w:hAnsi="Times New Roman"/>
          <w:sz w:val="24"/>
          <w:szCs w:val="24"/>
        </w:rPr>
        <w:t>colet</w:t>
      </w:r>
      <w:proofErr w:type="spellEnd"/>
      <w:r w:rsidRPr="009079EA">
        <w:rPr>
          <w:rFonts w:ascii="Times New Roman" w:hAnsi="Times New Roman"/>
          <w:sz w:val="24"/>
          <w:szCs w:val="24"/>
        </w:rPr>
        <w:t>, v. 12, n. 2, p. 363-72, 2007.</w:t>
      </w:r>
    </w:p>
    <w:p w:rsidR="00EA1376" w:rsidRPr="007A09CF" w:rsidRDefault="00EA1376" w:rsidP="00EA1376">
      <w:pPr>
        <w:spacing w:after="100" w:afterAutospacing="1" w:line="240" w:lineRule="auto"/>
        <w:rPr>
          <w:rFonts w:ascii="Times New Roman" w:hAnsi="Times New Roman"/>
          <w:sz w:val="24"/>
          <w:szCs w:val="24"/>
        </w:rPr>
      </w:pPr>
    </w:p>
    <w:p w:rsidR="00EA1376" w:rsidRDefault="009079EA" w:rsidP="00EA1376">
      <w:pPr>
        <w:spacing w:after="20" w:line="240" w:lineRule="auto"/>
        <w:jc w:val="both"/>
        <w:outlineLvl w:val="0"/>
        <w:rPr>
          <w:rFonts w:ascii="Times New Roman" w:hAnsi="Times New Roman"/>
          <w:sz w:val="24"/>
          <w:szCs w:val="24"/>
        </w:rPr>
      </w:pPr>
      <w:r w:rsidRPr="009079EA">
        <w:rPr>
          <w:rFonts w:ascii="Times New Roman" w:hAnsi="Times New Roman"/>
          <w:sz w:val="24"/>
          <w:szCs w:val="24"/>
        </w:rPr>
        <w:t>NASCIMENTO</w:t>
      </w:r>
      <w:r>
        <w:rPr>
          <w:rFonts w:ascii="Times New Roman" w:hAnsi="Times New Roman"/>
          <w:sz w:val="24"/>
          <w:szCs w:val="24"/>
        </w:rPr>
        <w:t>. C.M.</w:t>
      </w:r>
      <w:r w:rsidRPr="009079EA">
        <w:rPr>
          <w:rFonts w:ascii="Times New Roman" w:hAnsi="Times New Roman"/>
          <w:sz w:val="24"/>
          <w:szCs w:val="24"/>
        </w:rPr>
        <w:t xml:space="preserve"> et al. Estado nutricional e fatores associados em idosos do Município de Viçosa, Minas Gerais, Brasil. Cad. </w:t>
      </w:r>
      <w:proofErr w:type="gramStart"/>
      <w:r w:rsidRPr="009079EA">
        <w:rPr>
          <w:rFonts w:ascii="Times New Roman" w:hAnsi="Times New Roman"/>
          <w:sz w:val="24"/>
          <w:szCs w:val="24"/>
        </w:rPr>
        <w:t>saúde</w:t>
      </w:r>
      <w:proofErr w:type="gramEnd"/>
      <w:r w:rsidRPr="009079EA">
        <w:rPr>
          <w:rFonts w:ascii="Times New Roman" w:hAnsi="Times New Roman"/>
          <w:sz w:val="24"/>
          <w:szCs w:val="24"/>
        </w:rPr>
        <w:t xml:space="preserve"> pública, v. 27, n. 12, p. 2409-2418, 2011.</w:t>
      </w:r>
    </w:p>
    <w:p w:rsidR="009079EA" w:rsidRDefault="009079EA" w:rsidP="00EA1376">
      <w:pPr>
        <w:spacing w:after="20" w:line="240" w:lineRule="auto"/>
        <w:jc w:val="both"/>
        <w:outlineLvl w:val="0"/>
        <w:rPr>
          <w:rFonts w:ascii="Times New Roman" w:hAnsi="Times New Roman"/>
          <w:sz w:val="24"/>
          <w:szCs w:val="24"/>
        </w:rPr>
      </w:pPr>
    </w:p>
    <w:p w:rsidR="00E02DB8" w:rsidRPr="007A09CF" w:rsidRDefault="00E02DB8" w:rsidP="00EA1376">
      <w:pPr>
        <w:spacing w:after="20" w:line="240" w:lineRule="auto"/>
        <w:jc w:val="both"/>
        <w:outlineLvl w:val="0"/>
        <w:rPr>
          <w:rFonts w:ascii="Times New Roman" w:hAnsi="Times New Roman"/>
          <w:sz w:val="24"/>
          <w:szCs w:val="24"/>
        </w:rPr>
      </w:pPr>
    </w:p>
    <w:p w:rsidR="009079EA" w:rsidRPr="007A09CF" w:rsidRDefault="009079EA" w:rsidP="00EA1376">
      <w:pPr>
        <w:spacing w:after="20" w:line="240" w:lineRule="auto"/>
        <w:jc w:val="both"/>
        <w:outlineLvl w:val="0"/>
        <w:rPr>
          <w:rFonts w:ascii="Times New Roman" w:hAnsi="Times New Roman"/>
          <w:color w:val="000000"/>
          <w:sz w:val="24"/>
          <w:szCs w:val="24"/>
        </w:rPr>
      </w:pPr>
      <w:r w:rsidRPr="009079EA">
        <w:rPr>
          <w:rFonts w:ascii="Times New Roman" w:hAnsi="Times New Roman"/>
          <w:color w:val="000000"/>
          <w:sz w:val="24"/>
          <w:szCs w:val="24"/>
        </w:rPr>
        <w:t>SANTOS, R. D. et al. I Diretriz sobre o consumo de gorduras e saúde cardiovascular. Arquivos Brasileiros de Cardiologia, v. 100, n. 1, p. 1-40, 2013.</w:t>
      </w:r>
    </w:p>
    <w:p w:rsidR="00EA1376" w:rsidRPr="007A09CF" w:rsidRDefault="00EA1376" w:rsidP="00EA1376">
      <w:pPr>
        <w:spacing w:after="100" w:afterAutospacing="1" w:line="240" w:lineRule="auto"/>
        <w:rPr>
          <w:rFonts w:ascii="Times New Roman" w:hAnsi="Times New Roman"/>
          <w:sz w:val="24"/>
          <w:szCs w:val="24"/>
        </w:rPr>
      </w:pPr>
    </w:p>
    <w:p w:rsidR="005F675F" w:rsidRDefault="007254A4" w:rsidP="00EA1376">
      <w:pPr>
        <w:spacing w:after="100" w:afterAutospacing="1" w:line="240" w:lineRule="auto"/>
        <w:rPr>
          <w:rFonts w:ascii="Times New Roman" w:hAnsi="Times New Roman"/>
          <w:sz w:val="24"/>
          <w:szCs w:val="24"/>
        </w:rPr>
      </w:pPr>
      <w:r w:rsidRPr="007A09CF">
        <w:rPr>
          <w:rFonts w:ascii="Times New Roman" w:hAnsi="Times New Roman"/>
          <w:sz w:val="24"/>
          <w:szCs w:val="24"/>
        </w:rPr>
        <w:t xml:space="preserve">SANTOS, D.M., SICHIERI, R. Índice de massa corporal e indicadores antropométricos de adiposidade em idosos. </w:t>
      </w:r>
      <w:proofErr w:type="spellStart"/>
      <w:r w:rsidRPr="007A09CF">
        <w:rPr>
          <w:rFonts w:ascii="Times New Roman" w:hAnsi="Times New Roman"/>
          <w:sz w:val="24"/>
          <w:szCs w:val="24"/>
        </w:rPr>
        <w:t>Rev</w:t>
      </w:r>
      <w:proofErr w:type="spellEnd"/>
      <w:r w:rsidRPr="007A09CF">
        <w:rPr>
          <w:rFonts w:ascii="Times New Roman" w:hAnsi="Times New Roman"/>
          <w:sz w:val="24"/>
          <w:szCs w:val="24"/>
        </w:rPr>
        <w:t xml:space="preserve"> Saúde Pública, </w:t>
      </w:r>
      <w:r w:rsidR="009079EA" w:rsidRPr="009079EA">
        <w:rPr>
          <w:rFonts w:ascii="Times New Roman" w:hAnsi="Times New Roman"/>
          <w:sz w:val="24"/>
          <w:szCs w:val="24"/>
        </w:rPr>
        <w:t>v. 39, n. 2, p. 163-8, 2005.</w:t>
      </w:r>
      <w:r w:rsidR="009079EA" w:rsidRPr="009079EA">
        <w:rPr>
          <w:rFonts w:ascii="Times New Roman" w:hAnsi="Times New Roman"/>
          <w:sz w:val="24"/>
          <w:szCs w:val="24"/>
        </w:rPr>
        <w:t xml:space="preserve"> </w:t>
      </w:r>
    </w:p>
    <w:p w:rsidR="00E02DB8" w:rsidRDefault="00E02DB8" w:rsidP="00EA1376">
      <w:pPr>
        <w:spacing w:after="100" w:afterAutospacing="1" w:line="240" w:lineRule="auto"/>
        <w:rPr>
          <w:rFonts w:ascii="Times New Roman" w:eastAsia="Times New Roman" w:hAnsi="Times New Roman"/>
          <w:sz w:val="24"/>
          <w:szCs w:val="24"/>
        </w:rPr>
      </w:pPr>
    </w:p>
    <w:p w:rsidR="007254A4" w:rsidRPr="007A09CF" w:rsidRDefault="007254A4" w:rsidP="00EA1376">
      <w:pPr>
        <w:spacing w:after="100" w:afterAutospacing="1" w:line="240" w:lineRule="auto"/>
        <w:rPr>
          <w:rFonts w:ascii="Times New Roman" w:eastAsia="Times New Roman" w:hAnsi="Times New Roman"/>
          <w:sz w:val="24"/>
          <w:szCs w:val="24"/>
        </w:rPr>
      </w:pPr>
      <w:r w:rsidRPr="007A09CF">
        <w:rPr>
          <w:rFonts w:ascii="Times New Roman" w:eastAsia="Times New Roman" w:hAnsi="Times New Roman"/>
          <w:sz w:val="24"/>
          <w:szCs w:val="24"/>
        </w:rPr>
        <w:t xml:space="preserve">SCHRAMM </w:t>
      </w:r>
      <w:proofErr w:type="gramStart"/>
      <w:r w:rsidRPr="007A09CF">
        <w:rPr>
          <w:rFonts w:ascii="Times New Roman" w:eastAsia="Times New Roman" w:hAnsi="Times New Roman"/>
          <w:sz w:val="24"/>
          <w:szCs w:val="24"/>
        </w:rPr>
        <w:t>JMA ,</w:t>
      </w:r>
      <w:proofErr w:type="gramEnd"/>
      <w:r w:rsidRPr="007A09CF">
        <w:rPr>
          <w:rFonts w:ascii="Times New Roman" w:eastAsia="Times New Roman" w:hAnsi="Times New Roman"/>
          <w:sz w:val="24"/>
          <w:szCs w:val="24"/>
        </w:rPr>
        <w:t xml:space="preserve"> </w:t>
      </w:r>
      <w:r w:rsidR="009079EA">
        <w:rPr>
          <w:rFonts w:ascii="Times New Roman" w:eastAsia="Times New Roman" w:hAnsi="Times New Roman"/>
          <w:sz w:val="24"/>
          <w:szCs w:val="24"/>
        </w:rPr>
        <w:t>et al</w:t>
      </w:r>
      <w:r w:rsidRPr="007A09CF">
        <w:rPr>
          <w:rFonts w:ascii="Times New Roman" w:eastAsia="Times New Roman" w:hAnsi="Times New Roman"/>
          <w:sz w:val="24"/>
          <w:szCs w:val="24"/>
        </w:rPr>
        <w:t xml:space="preserve">. Transição epidemiológica: Estudo de carga de doença no Brasil. </w:t>
      </w:r>
      <w:r w:rsidR="00391DCB">
        <w:rPr>
          <w:rFonts w:ascii="Times New Roman" w:eastAsia="Times New Roman" w:hAnsi="Times New Roman"/>
          <w:sz w:val="24"/>
          <w:szCs w:val="24"/>
        </w:rPr>
        <w:t>Ciênc. saúde colet</w:t>
      </w:r>
      <w:bookmarkStart w:id="0" w:name="_GoBack"/>
      <w:bookmarkEnd w:id="0"/>
      <w:r w:rsidR="005B0096" w:rsidRPr="007A09CF">
        <w:rPr>
          <w:rFonts w:ascii="Times New Roman" w:eastAsia="Times New Roman" w:hAnsi="Times New Roman"/>
          <w:sz w:val="24"/>
          <w:szCs w:val="24"/>
        </w:rPr>
        <w:t>, v</w:t>
      </w:r>
      <w:r w:rsidRPr="007A09CF">
        <w:rPr>
          <w:rFonts w:ascii="Times New Roman" w:eastAsia="Times New Roman" w:hAnsi="Times New Roman"/>
          <w:sz w:val="24"/>
          <w:szCs w:val="24"/>
        </w:rPr>
        <w:t>.9, n.4,p.897-908. 2004.</w:t>
      </w:r>
    </w:p>
    <w:p w:rsidR="005F675F" w:rsidRPr="007A09CF" w:rsidRDefault="005F675F" w:rsidP="00EA1376">
      <w:pPr>
        <w:autoSpaceDE w:val="0"/>
        <w:autoSpaceDN w:val="0"/>
        <w:adjustRightInd w:val="0"/>
        <w:spacing w:after="0" w:line="240" w:lineRule="auto"/>
        <w:rPr>
          <w:rFonts w:ascii="Times New Roman" w:hAnsi="Times New Roman"/>
          <w:sz w:val="24"/>
          <w:szCs w:val="24"/>
        </w:rPr>
      </w:pPr>
    </w:p>
    <w:p w:rsidR="007254A4" w:rsidRPr="007A09CF" w:rsidRDefault="007254A4" w:rsidP="00EA1376">
      <w:pPr>
        <w:autoSpaceDE w:val="0"/>
        <w:autoSpaceDN w:val="0"/>
        <w:adjustRightInd w:val="0"/>
        <w:spacing w:after="0" w:line="240" w:lineRule="auto"/>
        <w:rPr>
          <w:rFonts w:ascii="Times New Roman" w:hAnsi="Times New Roman"/>
          <w:sz w:val="24"/>
          <w:szCs w:val="24"/>
        </w:rPr>
      </w:pPr>
      <w:r w:rsidRPr="007A09CF">
        <w:rPr>
          <w:rFonts w:ascii="Times New Roman" w:hAnsi="Times New Roman"/>
          <w:sz w:val="24"/>
          <w:szCs w:val="24"/>
        </w:rPr>
        <w:t>SOCIEDADE BRASILEIRA DE CARDIOLOGIA. IV Diretriz Brasileira sobre Dislipidemias e Prevenção da Aterosclerose. CARDIOLOGIA, D. D. A. D. S. B. D. Rio de Janeiro. 88: 22 p. 2007.</w:t>
      </w:r>
    </w:p>
    <w:p w:rsidR="007254A4" w:rsidRPr="007A09CF" w:rsidRDefault="007254A4" w:rsidP="00EA1376">
      <w:pPr>
        <w:autoSpaceDE w:val="0"/>
        <w:autoSpaceDN w:val="0"/>
        <w:adjustRightInd w:val="0"/>
        <w:spacing w:after="0" w:line="240" w:lineRule="auto"/>
        <w:rPr>
          <w:rFonts w:ascii="Times New Roman" w:hAnsi="Times New Roman"/>
          <w:sz w:val="24"/>
          <w:szCs w:val="24"/>
        </w:rPr>
      </w:pPr>
    </w:p>
    <w:p w:rsidR="005F675F" w:rsidRPr="007A09CF" w:rsidRDefault="005F675F" w:rsidP="00EA1376">
      <w:pPr>
        <w:spacing w:line="240" w:lineRule="auto"/>
        <w:rPr>
          <w:rFonts w:ascii="Times New Roman" w:hAnsi="Times New Roman"/>
          <w:sz w:val="24"/>
          <w:szCs w:val="24"/>
        </w:rPr>
      </w:pPr>
    </w:p>
    <w:p w:rsidR="007254A4" w:rsidRPr="007A09CF" w:rsidRDefault="007254A4" w:rsidP="00EA1376">
      <w:pPr>
        <w:spacing w:line="240" w:lineRule="auto"/>
        <w:rPr>
          <w:rFonts w:ascii="Times New Roman" w:hAnsi="Times New Roman"/>
          <w:sz w:val="24"/>
          <w:szCs w:val="24"/>
        </w:rPr>
      </w:pPr>
      <w:r w:rsidRPr="007A09CF">
        <w:rPr>
          <w:rFonts w:ascii="Times New Roman" w:hAnsi="Times New Roman"/>
          <w:sz w:val="24"/>
          <w:szCs w:val="24"/>
        </w:rPr>
        <w:lastRenderedPageBreak/>
        <w:t>SOCIEDADE BRASILEIRA DE HIPERTENSÃO. I Diretriz Brasileira de Diagnóstico e Tratamento da Síndrome Metabólica. São Paulo: Produção Gráfica e Editorial – BG Cultural. 7:41 p. 2004.</w:t>
      </w:r>
    </w:p>
    <w:p w:rsidR="007254A4" w:rsidRPr="007A09CF" w:rsidRDefault="007254A4" w:rsidP="00EA1376">
      <w:pPr>
        <w:spacing w:line="240" w:lineRule="auto"/>
        <w:rPr>
          <w:rFonts w:ascii="Times New Roman" w:hAnsi="Times New Roman"/>
          <w:sz w:val="24"/>
          <w:szCs w:val="24"/>
        </w:rPr>
      </w:pPr>
    </w:p>
    <w:p w:rsidR="007254A4" w:rsidRPr="007A09CF" w:rsidRDefault="007254A4" w:rsidP="005F675F">
      <w:pPr>
        <w:spacing w:line="240" w:lineRule="auto"/>
        <w:rPr>
          <w:rFonts w:ascii="Times New Roman" w:hAnsi="Times New Roman"/>
          <w:sz w:val="24"/>
          <w:szCs w:val="24"/>
          <w:lang w:val="en-US"/>
        </w:rPr>
      </w:pPr>
      <w:r w:rsidRPr="007A09CF">
        <w:rPr>
          <w:rFonts w:ascii="Times New Roman" w:hAnsi="Times New Roman"/>
          <w:sz w:val="24"/>
          <w:szCs w:val="24"/>
          <w:lang w:val="en-US"/>
        </w:rPr>
        <w:t xml:space="preserve">VISSCHER, T.L.S, </w:t>
      </w:r>
      <w:r w:rsidR="005B0096" w:rsidRPr="007A09CF">
        <w:rPr>
          <w:rFonts w:ascii="Times New Roman" w:hAnsi="Times New Roman"/>
          <w:sz w:val="24"/>
          <w:szCs w:val="24"/>
          <w:lang w:val="en-US"/>
        </w:rPr>
        <w:t xml:space="preserve">et </w:t>
      </w:r>
      <w:proofErr w:type="spellStart"/>
      <w:r w:rsidR="005B0096" w:rsidRPr="007A09CF">
        <w:rPr>
          <w:rFonts w:ascii="Times New Roman" w:hAnsi="Times New Roman"/>
          <w:sz w:val="24"/>
          <w:szCs w:val="24"/>
          <w:lang w:val="en-US"/>
        </w:rPr>
        <w:t>al</w:t>
      </w:r>
      <w:proofErr w:type="gramStart"/>
      <w:r w:rsidRPr="007A09CF">
        <w:rPr>
          <w:rFonts w:ascii="Times New Roman" w:hAnsi="Times New Roman"/>
          <w:sz w:val="24"/>
          <w:szCs w:val="24"/>
          <w:lang w:val="en-US"/>
        </w:rPr>
        <w:t>..</w:t>
      </w:r>
      <w:proofErr w:type="gramEnd"/>
      <w:r w:rsidRPr="007A09CF">
        <w:rPr>
          <w:rFonts w:ascii="Times New Roman" w:hAnsi="Times New Roman"/>
          <w:sz w:val="24"/>
          <w:szCs w:val="24"/>
          <w:lang w:val="en-US"/>
        </w:rPr>
        <w:t>Underweight</w:t>
      </w:r>
      <w:proofErr w:type="spellEnd"/>
      <w:r w:rsidRPr="007A09CF">
        <w:rPr>
          <w:rFonts w:ascii="Times New Roman" w:hAnsi="Times New Roman"/>
          <w:sz w:val="24"/>
          <w:szCs w:val="24"/>
          <w:lang w:val="en-US"/>
        </w:rPr>
        <w:t xml:space="preserve"> and overweight in relation to mortality among men aged 40-59 and 50-69 years: the seven countries study. Am J </w:t>
      </w:r>
      <w:proofErr w:type="spellStart"/>
      <w:r w:rsidRPr="007A09CF">
        <w:rPr>
          <w:rFonts w:ascii="Times New Roman" w:hAnsi="Times New Roman"/>
          <w:sz w:val="24"/>
          <w:szCs w:val="24"/>
          <w:lang w:val="en-US"/>
        </w:rPr>
        <w:t>Epidemiol</w:t>
      </w:r>
      <w:proofErr w:type="spellEnd"/>
      <w:r w:rsidRPr="007A09CF">
        <w:rPr>
          <w:rFonts w:ascii="Times New Roman" w:hAnsi="Times New Roman"/>
          <w:sz w:val="24"/>
          <w:szCs w:val="24"/>
          <w:lang w:val="en-US"/>
        </w:rPr>
        <w:t xml:space="preserve">, </w:t>
      </w:r>
      <w:r w:rsidR="005B0096" w:rsidRPr="007A09CF">
        <w:rPr>
          <w:rFonts w:ascii="Times New Roman" w:hAnsi="Times New Roman"/>
          <w:sz w:val="24"/>
          <w:szCs w:val="24"/>
          <w:lang w:val="en-US"/>
        </w:rPr>
        <w:t>v</w:t>
      </w:r>
      <w:r w:rsidRPr="007A09CF">
        <w:rPr>
          <w:rFonts w:ascii="Times New Roman" w:hAnsi="Times New Roman"/>
          <w:sz w:val="24"/>
          <w:szCs w:val="24"/>
          <w:lang w:val="en-US"/>
        </w:rPr>
        <w:t>.151, p.660-6. 2000.</w:t>
      </w:r>
    </w:p>
    <w:p w:rsidR="005F675F" w:rsidRPr="007A09CF" w:rsidRDefault="005F675F" w:rsidP="005F675F">
      <w:pPr>
        <w:spacing w:line="240" w:lineRule="auto"/>
        <w:rPr>
          <w:rFonts w:ascii="Times New Roman" w:hAnsi="Times New Roman"/>
          <w:sz w:val="24"/>
          <w:szCs w:val="24"/>
          <w:lang w:val="en-US"/>
        </w:rPr>
      </w:pPr>
    </w:p>
    <w:sectPr w:rsidR="005F675F" w:rsidRPr="007A09CF" w:rsidSect="007A09CF">
      <w:pgSz w:w="11906" w:h="16838"/>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43B3F4D"/>
    <w:multiLevelType w:val="hybridMultilevel"/>
    <w:tmpl w:val="53880518"/>
    <w:lvl w:ilvl="0" w:tplc="CAB666C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91DCB"/>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D3AC7"/>
    <w:rsid w:val="004E23D0"/>
    <w:rsid w:val="004E548C"/>
    <w:rsid w:val="00513E8C"/>
    <w:rsid w:val="00517495"/>
    <w:rsid w:val="00556E98"/>
    <w:rsid w:val="0057571A"/>
    <w:rsid w:val="005B0096"/>
    <w:rsid w:val="005C78F2"/>
    <w:rsid w:val="005D20EC"/>
    <w:rsid w:val="005D570A"/>
    <w:rsid w:val="005E3B87"/>
    <w:rsid w:val="005E670D"/>
    <w:rsid w:val="005F675F"/>
    <w:rsid w:val="00604E5C"/>
    <w:rsid w:val="00611B49"/>
    <w:rsid w:val="00652E34"/>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09CF"/>
    <w:rsid w:val="007A16F1"/>
    <w:rsid w:val="007A6978"/>
    <w:rsid w:val="007A6FB0"/>
    <w:rsid w:val="007C24DD"/>
    <w:rsid w:val="007C72F9"/>
    <w:rsid w:val="007D546A"/>
    <w:rsid w:val="007D6C09"/>
    <w:rsid w:val="007E6F25"/>
    <w:rsid w:val="00807880"/>
    <w:rsid w:val="00816E5C"/>
    <w:rsid w:val="00817387"/>
    <w:rsid w:val="00844AC2"/>
    <w:rsid w:val="00881B58"/>
    <w:rsid w:val="00897287"/>
    <w:rsid w:val="008B565B"/>
    <w:rsid w:val="008C50B4"/>
    <w:rsid w:val="008E23B6"/>
    <w:rsid w:val="008F0088"/>
    <w:rsid w:val="009079EA"/>
    <w:rsid w:val="009109EA"/>
    <w:rsid w:val="00963BE2"/>
    <w:rsid w:val="00967CE1"/>
    <w:rsid w:val="00995D76"/>
    <w:rsid w:val="009B2415"/>
    <w:rsid w:val="009C0DF9"/>
    <w:rsid w:val="009D6012"/>
    <w:rsid w:val="009E1092"/>
    <w:rsid w:val="00A03F5C"/>
    <w:rsid w:val="00A1409D"/>
    <w:rsid w:val="00A45012"/>
    <w:rsid w:val="00A824FC"/>
    <w:rsid w:val="00AA283D"/>
    <w:rsid w:val="00AB7377"/>
    <w:rsid w:val="00AD4420"/>
    <w:rsid w:val="00B15833"/>
    <w:rsid w:val="00B2346D"/>
    <w:rsid w:val="00B343B2"/>
    <w:rsid w:val="00B36E15"/>
    <w:rsid w:val="00B378E6"/>
    <w:rsid w:val="00B42F3E"/>
    <w:rsid w:val="00B82754"/>
    <w:rsid w:val="00B87090"/>
    <w:rsid w:val="00B90A52"/>
    <w:rsid w:val="00B90DF8"/>
    <w:rsid w:val="00BA2CB2"/>
    <w:rsid w:val="00BA6231"/>
    <w:rsid w:val="00BC75BC"/>
    <w:rsid w:val="00BE262D"/>
    <w:rsid w:val="00BE59C0"/>
    <w:rsid w:val="00C01756"/>
    <w:rsid w:val="00C03015"/>
    <w:rsid w:val="00C0392B"/>
    <w:rsid w:val="00C173F6"/>
    <w:rsid w:val="00C24ADC"/>
    <w:rsid w:val="00C30124"/>
    <w:rsid w:val="00C40AB4"/>
    <w:rsid w:val="00C43B79"/>
    <w:rsid w:val="00C570DE"/>
    <w:rsid w:val="00C9362A"/>
    <w:rsid w:val="00CA00B7"/>
    <w:rsid w:val="00CB15C4"/>
    <w:rsid w:val="00CD1E45"/>
    <w:rsid w:val="00CE5B05"/>
    <w:rsid w:val="00D36046"/>
    <w:rsid w:val="00D36958"/>
    <w:rsid w:val="00D519B3"/>
    <w:rsid w:val="00D553E5"/>
    <w:rsid w:val="00D80471"/>
    <w:rsid w:val="00D809D5"/>
    <w:rsid w:val="00D85348"/>
    <w:rsid w:val="00D95CB3"/>
    <w:rsid w:val="00DE3CEB"/>
    <w:rsid w:val="00DF6755"/>
    <w:rsid w:val="00E02DB8"/>
    <w:rsid w:val="00E54CB0"/>
    <w:rsid w:val="00E60B68"/>
    <w:rsid w:val="00E7392E"/>
    <w:rsid w:val="00EA03B4"/>
    <w:rsid w:val="00EA1376"/>
    <w:rsid w:val="00EA666B"/>
    <w:rsid w:val="00F22B5A"/>
    <w:rsid w:val="00F330E6"/>
    <w:rsid w:val="00F33B5A"/>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docId w15:val="{F82072A8-CF54-412A-814B-46FE11A2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bge.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E71F4-AEBC-43E3-A75C-AA9EF303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4009</Words>
  <Characters>21650</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Marcos Vidal Martins</cp:lastModifiedBy>
  <cp:revision>3</cp:revision>
  <dcterms:created xsi:type="dcterms:W3CDTF">2015-12-12T15:42:00Z</dcterms:created>
  <dcterms:modified xsi:type="dcterms:W3CDTF">2015-12-12T18:30:00Z</dcterms:modified>
</cp:coreProperties>
</file>