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1A" w:rsidRDefault="00DF4D23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6496050</wp:posOffset>
                </wp:positionH>
                <wp:positionV relativeFrom="paragraph">
                  <wp:posOffset>-266065</wp:posOffset>
                </wp:positionV>
                <wp:extent cx="552450" cy="551815"/>
                <wp:effectExtent l="0" t="0" r="19050" b="196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51F" w:rsidRDefault="004F55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9575" cy="447675"/>
                                  <wp:effectExtent l="19050" t="0" r="9525" b="0"/>
                                  <wp:docPr id="2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1.5pt;margin-top:-20.95pt;width:43.5pt;height:4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" strokecolor="white">
                <v:textbox>
                  <w:txbxContent>
                    <w:p w:rsidR="004F551F" w:rsidRDefault="004F551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09575" cy="447675"/>
                            <wp:effectExtent l="19050" t="0" r="9525" b="0"/>
                            <wp:docPr id="2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15308">
        <w:rPr>
          <w:rFonts w:ascii="Times New Roman" w:hAnsi="Times New Roman"/>
          <w:sz w:val="24"/>
          <w:szCs w:val="24"/>
        </w:rPr>
        <w:t>Avaliação do perfil nutricional dos pacientes internados na oncologia pediátrica do Hospital Santa Casa de Misericórdia de Belo Horizonte – MG</w:t>
      </w:r>
    </w:p>
    <w:p w:rsidR="0065531A" w:rsidRDefault="0065531A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531A" w:rsidRDefault="00115308" w:rsidP="004A0E0A">
      <w:pPr>
        <w:spacing w:after="0" w:line="48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RESUMO</w:t>
      </w:r>
    </w:p>
    <w:p w:rsidR="0065531A" w:rsidRDefault="00115308">
      <w:pPr>
        <w:spacing w:after="0" w:line="48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O câncer infantojuvenil é definido como toda neoplasia maligna que acomete indivíduos de até 19 anos de idade. Os sinais de má nutrição nas crianças e nos adolescentes com câncer são frequentes e os efeitos do tratamento agressivo aumentam ainda mais as chances de comprometimento nutricional. O objetivo deste estudo foi avaliar o estado nutricional dos pacientes internados na oncologia pediátrica do Hospital Santa Casa de Misericórdia de Belo Horizonte – MG. O estudo é do tipo descritivo, prospectivo e de natureza exploratória. A amostra contou com 32 pacientes de ambos os sexos, menores de 19 anos internados no período de janeiro a março de 2015. A coleta de dados foi feita através de prontuários e dados antropométricos contidos no sistema “Àgeis Nutrition - DeNutri”.</w:t>
      </w:r>
      <w:r w:rsidR="001B564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A maioria dos pacientes avaliados foi do sexo masculino e o tipo de neoplasia mais frequente foi leucemia. Segundo a classificação gerada pelas curvas da WHO, 50% (n=</w:t>
      </w:r>
      <w:r w:rsidR="007247C9">
        <w:rPr>
          <w:rFonts w:ascii="Times New Roman" w:eastAsia="Calibri" w:hAnsi="Times New Roman"/>
          <w:sz w:val="24"/>
          <w:szCs w:val="24"/>
          <w:lang w:eastAsia="en-US"/>
        </w:rPr>
        <w:t>10</w:t>
      </w:r>
      <w:r>
        <w:rPr>
          <w:rFonts w:ascii="Times New Roman" w:eastAsia="Calibri" w:hAnsi="Times New Roman"/>
          <w:sz w:val="24"/>
          <w:szCs w:val="24"/>
          <w:lang w:eastAsia="en-US"/>
        </w:rPr>
        <w:t>) dos pacientes com tumores hematológicos e 41,7% (n=</w:t>
      </w:r>
      <w:r w:rsidR="007247C9">
        <w:rPr>
          <w:rFonts w:ascii="Times New Roman" w:eastAsia="Calibri" w:hAnsi="Times New Roman"/>
          <w:sz w:val="24"/>
          <w:szCs w:val="24"/>
          <w:lang w:eastAsia="en-US"/>
        </w:rPr>
        <w:t>5</w:t>
      </w:r>
      <w:r>
        <w:rPr>
          <w:rFonts w:ascii="Times New Roman" w:eastAsia="Calibri" w:hAnsi="Times New Roman"/>
          <w:sz w:val="24"/>
          <w:szCs w:val="24"/>
          <w:lang w:eastAsia="en-US"/>
        </w:rPr>
        <w:t>) dos pacientes com tumores sólidos apresentavam-se eutróficos. Já o percentual de adequação da CB mostrou</w:t>
      </w:r>
      <w:r w:rsidR="00DF4D23">
        <w:rPr>
          <w:rFonts w:ascii="Times New Roman" w:eastAsia="Calibri" w:hAnsi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que, mesmo estando classificados como eutróficos pela avaliação antropométrica, estes pacientes apresentaram algum grau de desnutrição. A eutrofia foi o diagnóstico nutricional mais frequente, mas a presença de baixo peso entre estes pacientes deve servir de alerta para uma intervenção nutricional precoce e individualizada a fim de corrigir os déficits nutricionais e evitar complicações ao quadro clínico.</w:t>
      </w:r>
    </w:p>
    <w:p w:rsidR="0065531A" w:rsidRDefault="00115308">
      <w:pPr>
        <w:spacing w:after="0" w:line="48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Palavras-chave: Desnutrição. Estado nutricional. Neoplasias. Oncologia. </w:t>
      </w:r>
    </w:p>
    <w:p w:rsidR="0065531A" w:rsidRDefault="00115308" w:rsidP="004A0E0A">
      <w:pPr>
        <w:spacing w:after="0" w:line="48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sz w:val="24"/>
          <w:szCs w:val="24"/>
        </w:rPr>
        <w:t xml:space="preserve"> INTRODUÇÃO</w:t>
      </w:r>
    </w:p>
    <w:p w:rsidR="00D157C5" w:rsidRPr="003A0CB8" w:rsidRDefault="00D157C5" w:rsidP="00D157C5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CB8">
        <w:rPr>
          <w:rFonts w:ascii="Times New Roman" w:hAnsi="Times New Roman"/>
          <w:sz w:val="24"/>
          <w:szCs w:val="24"/>
        </w:rPr>
        <w:t xml:space="preserve">O câncer infanto-juvenil é definido como toda neoplasia maligna que acomete indivíduos de até 19 anos de </w:t>
      </w:r>
      <w:r w:rsidRPr="00BB510A">
        <w:rPr>
          <w:rFonts w:ascii="Times New Roman" w:hAnsi="Times New Roman"/>
          <w:sz w:val="24"/>
          <w:szCs w:val="24"/>
        </w:rPr>
        <w:t>idade (INSTITUTO NACIONAL DE CÂNCER JOSÉ ALENCAR GOMES DA SILVA, 2014)</w:t>
      </w:r>
      <w:r>
        <w:rPr>
          <w:rFonts w:ascii="Times New Roman" w:hAnsi="Times New Roman"/>
          <w:sz w:val="24"/>
          <w:szCs w:val="24"/>
        </w:rPr>
        <w:t xml:space="preserve">. Caracteriza-se por </w:t>
      </w:r>
      <w:r w:rsidRPr="003A0CB8">
        <w:rPr>
          <w:rFonts w:ascii="Times New Roman" w:hAnsi="Times New Roman"/>
          <w:sz w:val="24"/>
          <w:szCs w:val="24"/>
        </w:rPr>
        <w:t>afeta</w:t>
      </w:r>
      <w:r>
        <w:rPr>
          <w:rFonts w:ascii="Times New Roman" w:hAnsi="Times New Roman"/>
          <w:sz w:val="24"/>
          <w:szCs w:val="24"/>
        </w:rPr>
        <w:t>r</w:t>
      </w:r>
      <w:r w:rsidRPr="003A0CB8">
        <w:rPr>
          <w:rFonts w:ascii="Times New Roman" w:hAnsi="Times New Roman"/>
          <w:sz w:val="24"/>
          <w:szCs w:val="24"/>
        </w:rPr>
        <w:t xml:space="preserve"> células de intensa divisão celular, como as células do sistema hematopoiético e dos tecidos de sustentação (CAPRARA; RICALDE; SANTOS, 2009).</w:t>
      </w:r>
      <w:r w:rsidRPr="00BB51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Além de apresentar comportamento biológico e histologia diferentes</w:t>
      </w:r>
      <w:r w:rsidR="00F868F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as </w:t>
      </w:r>
      <w:r w:rsidRPr="00BB510A">
        <w:rPr>
          <w:rFonts w:ascii="Times New Roman" w:hAnsi="Times New Roman"/>
          <w:sz w:val="24"/>
          <w:szCs w:val="24"/>
        </w:rPr>
        <w:t>repercussões</w:t>
      </w:r>
      <w:r w:rsidRPr="003A0CB8">
        <w:rPr>
          <w:rFonts w:ascii="Times New Roman" w:hAnsi="Times New Roman"/>
          <w:sz w:val="24"/>
          <w:szCs w:val="24"/>
        </w:rPr>
        <w:t xml:space="preserve"> clínicas,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3A0CB8">
        <w:rPr>
          <w:rFonts w:ascii="Times New Roman" w:hAnsi="Times New Roman"/>
          <w:sz w:val="24"/>
          <w:szCs w:val="24"/>
        </w:rPr>
        <w:t xml:space="preserve">prognóstico,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3A0CB8">
        <w:rPr>
          <w:rFonts w:ascii="Times New Roman" w:hAnsi="Times New Roman"/>
          <w:sz w:val="24"/>
          <w:szCs w:val="24"/>
        </w:rPr>
        <w:t>terapêutica</w:t>
      </w:r>
      <w:r>
        <w:rPr>
          <w:rFonts w:ascii="Times New Roman" w:hAnsi="Times New Roman"/>
          <w:sz w:val="24"/>
          <w:szCs w:val="24"/>
        </w:rPr>
        <w:t xml:space="preserve"> e</w:t>
      </w:r>
      <w:r w:rsidRPr="003A0C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3A0CB8">
        <w:rPr>
          <w:rFonts w:ascii="Times New Roman" w:hAnsi="Times New Roman"/>
          <w:sz w:val="24"/>
          <w:szCs w:val="24"/>
        </w:rPr>
        <w:t>faixa etária de incidência</w:t>
      </w:r>
      <w:r>
        <w:rPr>
          <w:rFonts w:ascii="Times New Roman" w:hAnsi="Times New Roman"/>
          <w:sz w:val="24"/>
          <w:szCs w:val="24"/>
        </w:rPr>
        <w:t xml:space="preserve"> também </w:t>
      </w:r>
      <w:r w:rsidR="00F70E2B">
        <w:rPr>
          <w:rFonts w:ascii="Times New Roman" w:hAnsi="Times New Roman"/>
          <w:sz w:val="24"/>
          <w:szCs w:val="24"/>
        </w:rPr>
        <w:t>se apresentam</w:t>
      </w:r>
      <w:r>
        <w:rPr>
          <w:rFonts w:ascii="Times New Roman" w:hAnsi="Times New Roman"/>
          <w:sz w:val="24"/>
          <w:szCs w:val="24"/>
        </w:rPr>
        <w:t xml:space="preserve"> de formas</w:t>
      </w:r>
      <w:r w:rsidRPr="003A0CB8">
        <w:rPr>
          <w:rFonts w:ascii="Times New Roman" w:hAnsi="Times New Roman"/>
          <w:sz w:val="24"/>
          <w:szCs w:val="24"/>
        </w:rPr>
        <w:t xml:space="preserve"> distintas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CB8">
        <w:rPr>
          <w:rFonts w:ascii="Times New Roman" w:hAnsi="Times New Roman"/>
          <w:sz w:val="24"/>
          <w:szCs w:val="24"/>
        </w:rPr>
        <w:t xml:space="preserve">(MOLLE; RODRIGUES; CRUZ, 2011). </w:t>
      </w:r>
    </w:p>
    <w:p w:rsidR="004A0E0A" w:rsidRDefault="004A0E0A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CB8">
        <w:rPr>
          <w:rFonts w:ascii="Times New Roman" w:hAnsi="Times New Roman"/>
          <w:sz w:val="24"/>
          <w:szCs w:val="24"/>
        </w:rPr>
        <w:t xml:space="preserve">Devido ao considerável aumento no número de casos a cada ano, o câncer é considerado um problema de saúde pública mundial (BELTRÃO et al., 2007). No Brasil, foram estimados cerca de </w:t>
      </w:r>
      <w:r>
        <w:rPr>
          <w:rFonts w:ascii="Times New Roman" w:hAnsi="Times New Roman"/>
          <w:sz w:val="24"/>
          <w:szCs w:val="24"/>
        </w:rPr>
        <w:t>420.310</w:t>
      </w:r>
      <w:r w:rsidRPr="003A0CB8">
        <w:rPr>
          <w:rFonts w:ascii="Times New Roman" w:hAnsi="Times New Roman"/>
          <w:sz w:val="24"/>
          <w:szCs w:val="24"/>
        </w:rPr>
        <w:t xml:space="preserve"> novos casos de câncer para o ano de 201</w:t>
      </w:r>
      <w:r>
        <w:rPr>
          <w:rFonts w:ascii="Times New Roman" w:hAnsi="Times New Roman"/>
          <w:sz w:val="24"/>
          <w:szCs w:val="24"/>
        </w:rPr>
        <w:t>6</w:t>
      </w:r>
      <w:r w:rsidRPr="003A0CB8">
        <w:rPr>
          <w:rFonts w:ascii="Times New Roman" w:hAnsi="Times New Roman"/>
          <w:sz w:val="24"/>
          <w:szCs w:val="24"/>
        </w:rPr>
        <w:t xml:space="preserve">, excluindo os tumores de pele não melanoma. Deste total cerca de 3%, ou seja, </w:t>
      </w:r>
      <w:r>
        <w:rPr>
          <w:rFonts w:ascii="Times New Roman" w:hAnsi="Times New Roman"/>
          <w:sz w:val="24"/>
          <w:szCs w:val="24"/>
        </w:rPr>
        <w:t>12.600</w:t>
      </w:r>
      <w:r w:rsidRPr="003A0CB8">
        <w:rPr>
          <w:rFonts w:ascii="Times New Roman" w:hAnsi="Times New Roman"/>
          <w:sz w:val="24"/>
          <w:szCs w:val="24"/>
        </w:rPr>
        <w:t xml:space="preserve"> casos corresponder</w:t>
      </w:r>
      <w:r>
        <w:rPr>
          <w:rFonts w:ascii="Times New Roman" w:hAnsi="Times New Roman"/>
          <w:sz w:val="24"/>
          <w:szCs w:val="24"/>
        </w:rPr>
        <w:t>ão</w:t>
      </w:r>
      <w:r w:rsidRPr="003A0CB8">
        <w:rPr>
          <w:rFonts w:ascii="Times New Roman" w:hAnsi="Times New Roman"/>
          <w:sz w:val="24"/>
          <w:szCs w:val="24"/>
        </w:rPr>
        <w:t xml:space="preserve"> à incidência de câncer em crianças e adolescentes</w:t>
      </w:r>
      <w:r w:rsidR="00D157C5">
        <w:rPr>
          <w:rFonts w:ascii="Times New Roman" w:hAnsi="Times New Roman"/>
          <w:sz w:val="24"/>
          <w:szCs w:val="24"/>
        </w:rPr>
        <w:t>,</w:t>
      </w:r>
      <w:r w:rsidRPr="003A0CB8">
        <w:rPr>
          <w:rFonts w:ascii="Times New Roman" w:hAnsi="Times New Roman"/>
          <w:sz w:val="24"/>
          <w:szCs w:val="24"/>
        </w:rPr>
        <w:t xml:space="preserve"> de acordo com o percentual mediano de tumores pediátricos contidos nos Registros de Câncer de Base Populacional (RCBP) brasileiros </w:t>
      </w:r>
      <w:r w:rsidRPr="00BB510A">
        <w:rPr>
          <w:rFonts w:ascii="Times New Roman" w:hAnsi="Times New Roman"/>
          <w:sz w:val="24"/>
          <w:szCs w:val="24"/>
        </w:rPr>
        <w:t>(INSTITUTO NACIONAL DE CÂNCER JOSÉ ALENCAR GOMES DA SILVA, 201</w:t>
      </w:r>
      <w:r>
        <w:rPr>
          <w:rFonts w:ascii="Times New Roman" w:hAnsi="Times New Roman"/>
          <w:sz w:val="24"/>
          <w:szCs w:val="24"/>
        </w:rPr>
        <w:t>5</w:t>
      </w:r>
      <w:r w:rsidRPr="00BB510A">
        <w:rPr>
          <w:rFonts w:ascii="Times New Roman" w:hAnsi="Times New Roman"/>
          <w:sz w:val="24"/>
          <w:szCs w:val="24"/>
        </w:rPr>
        <w:t>).</w:t>
      </w:r>
    </w:p>
    <w:p w:rsidR="0065531A" w:rsidRDefault="00DA1367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Segundo Garófolo (2005), a</w:t>
      </w:r>
      <w:r w:rsidR="00115308">
        <w:rPr>
          <w:rFonts w:ascii="Times New Roman" w:hAnsi="Times New Roman"/>
          <w:sz w:val="24"/>
          <w:szCs w:val="24"/>
        </w:rPr>
        <w:t xml:space="preserve">s neoplasias malignas mais frequentes na infância e na adolescência são as leucemias, correspondentes a </w:t>
      </w:r>
      <w:r w:rsidR="00D157C5">
        <w:rPr>
          <w:rFonts w:ascii="Times New Roman" w:hAnsi="Times New Roman"/>
          <w:sz w:val="24"/>
          <w:szCs w:val="24"/>
        </w:rPr>
        <w:t xml:space="preserve">aproximadamente </w:t>
      </w:r>
      <w:r w:rsidR="00115308">
        <w:rPr>
          <w:rFonts w:ascii="Times New Roman" w:hAnsi="Times New Roman"/>
          <w:sz w:val="24"/>
          <w:szCs w:val="24"/>
        </w:rPr>
        <w:t>30% dos casos, os tumores do sistema nervoso central (19%), linfomas (13%), neuroblastoma (8%), sarcomas de partes moles (7%), tumor de Wilms (6%), osteossarcoma (5%) e retinoblastoma (3%)</w:t>
      </w:r>
      <w:r>
        <w:rPr>
          <w:rFonts w:ascii="Times New Roman" w:hAnsi="Times New Roman"/>
          <w:sz w:val="24"/>
          <w:szCs w:val="24"/>
        </w:rPr>
        <w:t>.</w:t>
      </w:r>
    </w:p>
    <w:p w:rsidR="0065531A" w:rsidRDefault="001153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formas de tratamento antineoplásico mais utilizadas são a quimioterapia, a radioterapia, a cirurgia e o transplante de medula óssea (GARÓFOLO, 2005). </w:t>
      </w:r>
      <w:r w:rsidR="001B3776">
        <w:rPr>
          <w:rFonts w:ascii="Times New Roman" w:hAnsi="Times New Roman"/>
          <w:sz w:val="24"/>
          <w:szCs w:val="24"/>
        </w:rPr>
        <w:t xml:space="preserve">Ambas as </w:t>
      </w:r>
      <w:r w:rsidR="001B3776">
        <w:rPr>
          <w:rFonts w:ascii="Times New Roman" w:hAnsi="Times New Roman"/>
          <w:sz w:val="24"/>
          <w:szCs w:val="24"/>
        </w:rPr>
        <w:lastRenderedPageBreak/>
        <w:t xml:space="preserve">formas de tratamento </w:t>
      </w:r>
      <w:r>
        <w:rPr>
          <w:rFonts w:ascii="Times New Roman" w:hAnsi="Times New Roman"/>
          <w:sz w:val="24"/>
          <w:szCs w:val="24"/>
        </w:rPr>
        <w:t>têm como objetivo aumentar as taxas de sobrevida e promover melhorias na qualidade de vida da criança</w:t>
      </w:r>
      <w:r w:rsidR="004A0E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do adolescente (GARÓFOLO, 2005). No entanto, assim como a própria doença, os efeitos do tratamento são agressivos e deixam o organismo debilitado e vulnerável, aumentando consideravelmente as chances de comprometimento nutricional (MUTTI; PAULA; SOUTO, 2010).</w:t>
      </w:r>
    </w:p>
    <w:p w:rsidR="0065531A" w:rsidRDefault="001153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sinais de má nutrição </w:t>
      </w:r>
      <w:r w:rsidR="00FA32D8">
        <w:rPr>
          <w:rFonts w:ascii="Times New Roman" w:hAnsi="Times New Roman"/>
          <w:sz w:val="24"/>
          <w:szCs w:val="24"/>
        </w:rPr>
        <w:t>nos pacientes oncológicos pediátricos</w:t>
      </w:r>
      <w:r>
        <w:rPr>
          <w:rFonts w:ascii="Times New Roman" w:hAnsi="Times New Roman"/>
          <w:sz w:val="24"/>
          <w:szCs w:val="24"/>
        </w:rPr>
        <w:t xml:space="preserve"> são frequ</w:t>
      </w:r>
      <w:r w:rsidR="0059432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ntes e, na maioria das vezes, ocorre a instalação de um processo de desnutrição grave (MELLO; BOTTARO, 2010). Quando presente, a desnutrição prejudica a resposta ao tratamento, levando a piora do quadro clínico e da qualidade de vida da criança (SILVA, 2006).</w:t>
      </w:r>
    </w:p>
    <w:p w:rsidR="0065531A" w:rsidRDefault="001153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acordo com o exposto, o presente trabalho tem como objetivo avaliar</w:t>
      </w:r>
      <w:r w:rsidR="00FA32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estado nutricional dos pacientes internados na oncologia pediátrica</w:t>
      </w:r>
      <w:r w:rsidR="00FA32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Hospital Santa Casa de Misericórdia de Belo Horizonte – MG, no período de janeiro a março de 2015.</w:t>
      </w:r>
    </w:p>
    <w:p w:rsidR="0065531A" w:rsidRDefault="0065531A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531A" w:rsidRDefault="00115308" w:rsidP="004A0E0A">
      <w:pPr>
        <w:spacing w:after="0" w:line="48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MATERIAL E MÉTODOS</w:t>
      </w:r>
    </w:p>
    <w:p w:rsidR="0065531A" w:rsidRDefault="00115308">
      <w:pPr>
        <w:pStyle w:val="PargrafodaLista1"/>
        <w:spacing w:before="360" w:after="360" w:line="48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FA32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Amostra</w:t>
      </w:r>
    </w:p>
    <w:p w:rsidR="0065531A" w:rsidRDefault="001153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estudo é do tipo descritivo, prospectivo e de natureza exploratória. A amostra contou</w:t>
      </w:r>
      <w:r w:rsidR="00FA32D8">
        <w:rPr>
          <w:rFonts w:ascii="Times New Roman" w:hAnsi="Times New Roman"/>
          <w:sz w:val="24"/>
          <w:szCs w:val="24"/>
        </w:rPr>
        <w:t>, aleatoriamente,</w:t>
      </w:r>
      <w:r>
        <w:rPr>
          <w:rFonts w:ascii="Times New Roman" w:hAnsi="Times New Roman"/>
          <w:sz w:val="24"/>
          <w:szCs w:val="24"/>
        </w:rPr>
        <w:t xml:space="preserve"> com 32 pacientes de ambos os sexos, menores de 19 anos internados na oncologia pediátrica da Santa Casa de Belo Horizonte, no período de janeiro a março de 2015.</w:t>
      </w:r>
    </w:p>
    <w:p w:rsidR="00DF4D23" w:rsidRDefault="00DF4D23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4D23" w:rsidRDefault="00DF4D23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531A" w:rsidRDefault="00115308" w:rsidP="004A0E0A">
      <w:pPr>
        <w:pStyle w:val="PargrafodaLista1"/>
        <w:spacing w:before="360" w:after="360" w:line="48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</w:t>
      </w:r>
      <w:r w:rsidR="00FA32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Critérios de inclusão e exclusão do estudo</w:t>
      </w:r>
    </w:p>
    <w:p w:rsidR="00FA32D8" w:rsidRDefault="00FA32D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CB8">
        <w:rPr>
          <w:rFonts w:ascii="Times New Roman" w:hAnsi="Times New Roman"/>
          <w:sz w:val="24"/>
          <w:szCs w:val="24"/>
        </w:rPr>
        <w:t>Foram incluídos todos os indivíduos que atendiam aos critérios descritos a seguir: estar internado na ala de oncologia pediátrica</w:t>
      </w:r>
      <w:r>
        <w:rPr>
          <w:rFonts w:ascii="Times New Roman" w:hAnsi="Times New Roman"/>
          <w:sz w:val="24"/>
          <w:szCs w:val="24"/>
        </w:rPr>
        <w:t xml:space="preserve"> do hospital, durante o período</w:t>
      </w:r>
      <w:r w:rsidRPr="003A0C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3A0CB8">
        <w:rPr>
          <w:rFonts w:ascii="Times New Roman" w:hAnsi="Times New Roman"/>
          <w:sz w:val="24"/>
          <w:szCs w:val="24"/>
        </w:rPr>
        <w:t>janeiro a março de 2015, ter diagnóstico definido e ter sido autorizado pelos pais ou responsável a participar do estudo através da assinatura do Termo de Consentimento Livre e Esclarecido (TCLE). Os critérios de exclusão foram: possuir idade maior que 19 anos, não possuir diagnóstico definitivo de neoplasia</w:t>
      </w:r>
      <w:r>
        <w:rPr>
          <w:rFonts w:ascii="Times New Roman" w:hAnsi="Times New Roman"/>
          <w:sz w:val="24"/>
          <w:szCs w:val="24"/>
        </w:rPr>
        <w:t xml:space="preserve"> e ser portador </w:t>
      </w:r>
      <w:r w:rsidRPr="003A0CB8">
        <w:rPr>
          <w:rFonts w:ascii="Times New Roman" w:hAnsi="Times New Roman"/>
          <w:sz w:val="24"/>
          <w:szCs w:val="24"/>
        </w:rPr>
        <w:t>de Síndrome de Down e paralisia cerebral</w:t>
      </w:r>
      <w:r w:rsidR="0059432A">
        <w:rPr>
          <w:rFonts w:ascii="Times New Roman" w:hAnsi="Times New Roman"/>
          <w:sz w:val="24"/>
          <w:szCs w:val="24"/>
        </w:rPr>
        <w:t xml:space="preserve">, </w:t>
      </w:r>
      <w:r w:rsidR="0059432A" w:rsidRPr="003F5705">
        <w:rPr>
          <w:rFonts w:ascii="Times New Roman" w:hAnsi="Times New Roman"/>
          <w:sz w:val="24"/>
          <w:szCs w:val="24"/>
        </w:rPr>
        <w:t>pois para a avaliação nutricional destes pacientes</w:t>
      </w:r>
      <w:r w:rsidR="0059432A">
        <w:rPr>
          <w:rFonts w:ascii="Times New Roman" w:hAnsi="Times New Roman"/>
          <w:sz w:val="24"/>
          <w:szCs w:val="24"/>
        </w:rPr>
        <w:t xml:space="preserve"> são </w:t>
      </w:r>
      <w:r w:rsidR="0071372E">
        <w:rPr>
          <w:rFonts w:ascii="Times New Roman" w:hAnsi="Times New Roman"/>
          <w:sz w:val="24"/>
          <w:szCs w:val="24"/>
        </w:rPr>
        <w:t>utilizados</w:t>
      </w:r>
      <w:r w:rsidR="005943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gráficos de curvas diferenciados.</w:t>
      </w:r>
      <w:r w:rsidR="0059432A">
        <w:rPr>
          <w:rFonts w:ascii="Times New Roman" w:hAnsi="Times New Roman"/>
          <w:sz w:val="24"/>
          <w:szCs w:val="24"/>
        </w:rPr>
        <w:t xml:space="preserve"> </w:t>
      </w:r>
    </w:p>
    <w:p w:rsidR="0065531A" w:rsidRDefault="00115308" w:rsidP="004A0E0A">
      <w:pPr>
        <w:pStyle w:val="PargrafodaLista1"/>
        <w:spacing w:before="360" w:after="360" w:line="48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FA32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Métodos de abordagem</w:t>
      </w:r>
    </w:p>
    <w:p w:rsidR="0065531A" w:rsidRDefault="001153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pacientes e os pais/responsáveis foram abordados no leito e esclarecidos sobre os objetivos da pesquisa, e assim que houve o interesse por ambas as partes em participar da pesquisa, os pais/responsáveis assinaram o TCLE, autorizando a</w:t>
      </w:r>
      <w:r w:rsidR="00FA32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participação </w:t>
      </w:r>
      <w:r w:rsidR="00FA32D8">
        <w:rPr>
          <w:rFonts w:ascii="Times New Roman" w:hAnsi="Times New Roman"/>
          <w:sz w:val="24"/>
          <w:szCs w:val="24"/>
        </w:rPr>
        <w:t>do paciente no estudo.</w:t>
      </w:r>
    </w:p>
    <w:p w:rsidR="0065531A" w:rsidRDefault="00115308" w:rsidP="004A0E0A">
      <w:pPr>
        <w:pStyle w:val="PargrafodaLista1"/>
        <w:spacing w:before="360" w:after="360" w:line="48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FA32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Coleta de dados</w:t>
      </w:r>
    </w:p>
    <w:p w:rsidR="00A90181" w:rsidRDefault="00FA32D8" w:rsidP="00FA32D8">
      <w:pPr>
        <w:spacing w:after="0" w:line="480" w:lineRule="auto"/>
        <w:ind w:firstLine="709"/>
        <w:jc w:val="both"/>
        <w:rPr>
          <w:color w:val="000000"/>
        </w:rPr>
      </w:pPr>
      <w:r w:rsidRPr="003A0CB8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coleta de dados foi realizada diariamente</w:t>
      </w:r>
      <w:r w:rsidRPr="00BB510A">
        <w:rPr>
          <w:rFonts w:ascii="Times New Roman" w:hAnsi="Times New Roman"/>
          <w:sz w:val="24"/>
          <w:szCs w:val="24"/>
        </w:rPr>
        <w:t xml:space="preserve"> através dos prontuários e dados contidos no sistema “</w:t>
      </w:r>
      <w:r w:rsidRPr="00C672F1">
        <w:rPr>
          <w:rFonts w:ascii="Times New Roman" w:hAnsi="Times New Roman"/>
          <w:sz w:val="24"/>
          <w:szCs w:val="24"/>
        </w:rPr>
        <w:t>Àgeis Nutrition</w:t>
      </w:r>
      <w:r w:rsidRPr="00BB510A">
        <w:rPr>
          <w:rFonts w:ascii="Times New Roman" w:hAnsi="Times New Roman"/>
          <w:sz w:val="24"/>
          <w:szCs w:val="24"/>
        </w:rPr>
        <w:t xml:space="preserve"> - DeNutri”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B510A">
        <w:rPr>
          <w:rFonts w:ascii="Times New Roman" w:hAnsi="Times New Roman"/>
          <w:sz w:val="24"/>
          <w:szCs w:val="24"/>
        </w:rPr>
        <w:t xml:space="preserve">no qual </w:t>
      </w:r>
      <w:r w:rsidR="00A90181">
        <w:rPr>
          <w:rFonts w:ascii="Times New Roman" w:hAnsi="Times New Roman"/>
          <w:sz w:val="24"/>
          <w:szCs w:val="24"/>
        </w:rPr>
        <w:t>foram registrados</w:t>
      </w:r>
      <w:r w:rsidRPr="00BB510A">
        <w:rPr>
          <w:rFonts w:ascii="Times New Roman" w:hAnsi="Times New Roman"/>
          <w:sz w:val="24"/>
          <w:szCs w:val="24"/>
        </w:rPr>
        <w:t xml:space="preserve"> todos os dados preenchidos na ficha de </w:t>
      </w:r>
      <w:r>
        <w:rPr>
          <w:rFonts w:ascii="Times New Roman" w:hAnsi="Times New Roman"/>
          <w:sz w:val="24"/>
          <w:szCs w:val="24"/>
        </w:rPr>
        <w:t>triagem</w:t>
      </w:r>
      <w:r w:rsidRPr="00BB510A">
        <w:rPr>
          <w:rFonts w:ascii="Times New Roman" w:hAnsi="Times New Roman"/>
          <w:sz w:val="24"/>
          <w:szCs w:val="24"/>
        </w:rPr>
        <w:t xml:space="preserve"> nutricional pediátrica padrão do hospital: a “</w:t>
      </w:r>
      <w:r w:rsidRPr="00C672F1">
        <w:rPr>
          <w:rFonts w:ascii="Times New Roman" w:hAnsi="Times New Roman"/>
          <w:sz w:val="24"/>
          <w:szCs w:val="24"/>
        </w:rPr>
        <w:t>Strong kids</w:t>
      </w:r>
      <w:r w:rsidRPr="00BB510A">
        <w:rPr>
          <w:rFonts w:ascii="Times New Roman" w:hAnsi="Times New Roman"/>
          <w:sz w:val="24"/>
          <w:szCs w:val="24"/>
        </w:rPr>
        <w:t>”.</w:t>
      </w:r>
      <w:r>
        <w:rPr>
          <w:color w:val="000000"/>
        </w:rPr>
        <w:t xml:space="preserve"> </w:t>
      </w:r>
    </w:p>
    <w:p w:rsidR="00DF4D23" w:rsidRDefault="00DF4D23" w:rsidP="00FA32D8">
      <w:pPr>
        <w:spacing w:after="0" w:line="480" w:lineRule="auto"/>
        <w:ind w:firstLine="709"/>
        <w:jc w:val="both"/>
        <w:rPr>
          <w:color w:val="000000"/>
        </w:rPr>
      </w:pPr>
    </w:p>
    <w:p w:rsidR="0065531A" w:rsidRDefault="00115308" w:rsidP="00300CC1">
      <w:pPr>
        <w:pStyle w:val="PargrafodaLista1"/>
        <w:spacing w:before="360" w:after="360" w:line="48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00CC1">
        <w:rPr>
          <w:rFonts w:ascii="Times New Roman" w:hAnsi="Times New Roman"/>
          <w:sz w:val="24"/>
          <w:szCs w:val="24"/>
        </w:rPr>
        <w:lastRenderedPageBreak/>
        <w:t>2.5</w:t>
      </w:r>
      <w:r w:rsidR="00FA32D8" w:rsidRPr="00300CC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Avaliação do estado nutricional (EN)</w:t>
      </w:r>
    </w:p>
    <w:p w:rsidR="00A90181" w:rsidRDefault="00A90181" w:rsidP="00A90181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a inclusão no trabalho foi utilizada </w:t>
      </w:r>
      <w:r w:rsidRPr="00BB510A">
        <w:rPr>
          <w:rFonts w:ascii="Times New Roman" w:hAnsi="Times New Roman"/>
          <w:sz w:val="24"/>
          <w:szCs w:val="24"/>
        </w:rPr>
        <w:t xml:space="preserve">a primeira </w:t>
      </w:r>
      <w:r>
        <w:rPr>
          <w:rFonts w:ascii="Times New Roman" w:hAnsi="Times New Roman"/>
          <w:sz w:val="24"/>
          <w:szCs w:val="24"/>
        </w:rPr>
        <w:t>triagem</w:t>
      </w:r>
      <w:r w:rsidRPr="00BB510A">
        <w:rPr>
          <w:rFonts w:ascii="Times New Roman" w:hAnsi="Times New Roman"/>
          <w:sz w:val="24"/>
          <w:szCs w:val="24"/>
        </w:rPr>
        <w:t xml:space="preserve"> nutricional </w:t>
      </w:r>
      <w:r>
        <w:rPr>
          <w:rFonts w:ascii="Times New Roman" w:hAnsi="Times New Roman"/>
          <w:sz w:val="24"/>
          <w:szCs w:val="24"/>
        </w:rPr>
        <w:t xml:space="preserve">do paciente, </w:t>
      </w:r>
      <w:r w:rsidRPr="00BB510A">
        <w:rPr>
          <w:rFonts w:ascii="Times New Roman" w:hAnsi="Times New Roman"/>
          <w:sz w:val="24"/>
          <w:szCs w:val="24"/>
        </w:rPr>
        <w:t>realizada</w:t>
      </w:r>
      <w:r>
        <w:rPr>
          <w:rFonts w:ascii="Times New Roman" w:hAnsi="Times New Roman"/>
          <w:sz w:val="24"/>
          <w:szCs w:val="24"/>
        </w:rPr>
        <w:t xml:space="preserve"> em</w:t>
      </w:r>
      <w:r w:rsidRPr="00BB510A">
        <w:rPr>
          <w:rFonts w:ascii="Times New Roman" w:hAnsi="Times New Roman"/>
          <w:sz w:val="24"/>
          <w:szCs w:val="24"/>
        </w:rPr>
        <w:t xml:space="preserve"> até 48 horas a partir</w:t>
      </w:r>
      <w:r>
        <w:rPr>
          <w:rFonts w:ascii="Times New Roman" w:hAnsi="Times New Roman"/>
          <w:sz w:val="24"/>
          <w:szCs w:val="24"/>
        </w:rPr>
        <w:t xml:space="preserve"> do momento</w:t>
      </w:r>
      <w:r w:rsidRPr="00BB510A">
        <w:rPr>
          <w:rFonts w:ascii="Times New Roman" w:hAnsi="Times New Roman"/>
          <w:sz w:val="24"/>
          <w:szCs w:val="24"/>
        </w:rPr>
        <w:t xml:space="preserve"> da internação.</w:t>
      </w:r>
    </w:p>
    <w:p w:rsidR="00FA32D8" w:rsidRDefault="00FA32D8" w:rsidP="00FA32D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avaliação do EN foi utilizado o peso, a estatura e a circunferência do braço (CB), obtidos </w:t>
      </w:r>
      <w:r w:rsidR="00C4554E">
        <w:rPr>
          <w:rFonts w:ascii="Times New Roman" w:hAnsi="Times New Roman"/>
          <w:sz w:val="24"/>
          <w:szCs w:val="24"/>
        </w:rPr>
        <w:t>a partir da triagem nutricional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F160F">
        <w:rPr>
          <w:rFonts w:ascii="Times New Roman" w:hAnsi="Times New Roman"/>
          <w:sz w:val="24"/>
          <w:szCs w:val="24"/>
        </w:rPr>
        <w:t>Para a aferição dos dados antropométricos</w:t>
      </w:r>
      <w:r>
        <w:rPr>
          <w:rFonts w:ascii="Times New Roman" w:hAnsi="Times New Roman"/>
          <w:sz w:val="24"/>
          <w:szCs w:val="24"/>
        </w:rPr>
        <w:t xml:space="preserve"> o hospital faz uso, respectivamente, do</w:t>
      </w:r>
      <w:r w:rsidRPr="004F160F">
        <w:rPr>
          <w:rFonts w:ascii="Times New Roman" w:hAnsi="Times New Roman"/>
          <w:sz w:val="24"/>
          <w:szCs w:val="24"/>
        </w:rPr>
        <w:t xml:space="preserve"> estadiômetro da marca Alturexata</w:t>
      </w:r>
      <w:r w:rsidRPr="004F160F">
        <w:rPr>
          <w:rFonts w:ascii="Times New Roman" w:hAnsi="Times New Roman"/>
          <w:sz w:val="24"/>
          <w:szCs w:val="24"/>
          <w:vertAlign w:val="superscript"/>
        </w:rPr>
        <w:t>®</w:t>
      </w:r>
      <w:r w:rsidRPr="004F160F">
        <w:rPr>
          <w:rFonts w:ascii="Times New Roman" w:hAnsi="Times New Roman"/>
          <w:sz w:val="24"/>
          <w:szCs w:val="24"/>
        </w:rPr>
        <w:t>, balança da marca Plenna</w:t>
      </w:r>
      <w:r w:rsidRPr="004F160F">
        <w:rPr>
          <w:rFonts w:ascii="Times New Roman" w:hAnsi="Times New Roman"/>
          <w:sz w:val="24"/>
          <w:szCs w:val="24"/>
          <w:vertAlign w:val="superscript"/>
        </w:rPr>
        <w:t>®</w:t>
      </w:r>
      <w:r w:rsidRPr="004F160F">
        <w:rPr>
          <w:rFonts w:ascii="Times New Roman" w:hAnsi="Times New Roman"/>
          <w:sz w:val="24"/>
          <w:szCs w:val="24"/>
        </w:rPr>
        <w:t xml:space="preserve"> e fita antropométrica de material flexível.</w:t>
      </w:r>
    </w:p>
    <w:p w:rsidR="00FA32D8" w:rsidRDefault="00FA32D8" w:rsidP="00FA32D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Obtidos os dados antropométricos como peso e altura, estes foram avaliados nas curvas de crescimento para crianças (WHO, 2006) e adolescentes (WHO, 2007), em escore Z, propostos pela </w:t>
      </w:r>
      <w:r>
        <w:rPr>
          <w:rFonts w:ascii="Times New Roman" w:hAnsi="Times New Roman"/>
          <w:i/>
          <w:sz w:val="24"/>
          <w:szCs w:val="24"/>
        </w:rPr>
        <w:t>World Health Organization</w:t>
      </w:r>
      <w:r>
        <w:rPr>
          <w:rFonts w:ascii="Times New Roman" w:hAnsi="Times New Roman"/>
          <w:sz w:val="24"/>
          <w:szCs w:val="24"/>
        </w:rPr>
        <w:t xml:space="preserve">, por </w:t>
      </w:r>
      <w:r w:rsidR="0071372E">
        <w:rPr>
          <w:rFonts w:ascii="Times New Roman" w:hAnsi="Times New Roman"/>
          <w:sz w:val="24"/>
          <w:szCs w:val="24"/>
        </w:rPr>
        <w:t xml:space="preserve">gênero </w:t>
      </w:r>
      <w:r>
        <w:rPr>
          <w:rFonts w:ascii="Times New Roman" w:hAnsi="Times New Roman"/>
          <w:sz w:val="24"/>
          <w:szCs w:val="24"/>
        </w:rPr>
        <w:t>e faixa etária. Os pontos de corte considerados para a classificação do EN dos participantes foram: para os pacientes maiores de 6 meses e menores de 5 anos o índice peso para estatura (P/E) e para os de 5 a 19 anos o índice de massa corporal para a idade (IMC/I).</w:t>
      </w:r>
    </w:p>
    <w:p w:rsidR="00FA32D8" w:rsidRDefault="00FA32D8" w:rsidP="00FA32D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circunferência do braço (CB) foi avaliada de acordo com a metodologia de Frisancho (1990) e o percentual de adequação da CB conforme a classificação de Blackburn &amp; Thornton (1979). Desta análise, foram excluídas duas crianças por possuírem idade inferior a um ano e não se aferir a CB nesse caso.</w:t>
      </w:r>
    </w:p>
    <w:p w:rsidR="00FA32D8" w:rsidRDefault="00A1471E" w:rsidP="00FA32D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D23">
        <w:rPr>
          <w:rFonts w:ascii="Times New Roman" w:hAnsi="Times New Roman"/>
          <w:sz w:val="24"/>
          <w:szCs w:val="24"/>
        </w:rPr>
        <w:t>Após a avaliação antropométrica, o estado nutricional dos pacientes foi comparado conforme o tipo de tumor apresentado: os hematológicos relacionados aos fluidos corporais, que incluem as leucemias e os linfomas; e os sólidos, que incluem os demais tipos de tumores</w:t>
      </w:r>
      <w:r w:rsidR="0071372E" w:rsidRPr="00DF4D23">
        <w:rPr>
          <w:rFonts w:ascii="Times New Roman" w:hAnsi="Times New Roman"/>
          <w:sz w:val="24"/>
          <w:szCs w:val="24"/>
        </w:rPr>
        <w:t xml:space="preserve"> (GARÓFOLO; LOPEZ; PETRILLI, 2001)</w:t>
      </w:r>
      <w:r w:rsidRPr="00DF4D23">
        <w:rPr>
          <w:rFonts w:ascii="Times New Roman" w:hAnsi="Times New Roman"/>
          <w:sz w:val="24"/>
          <w:szCs w:val="24"/>
        </w:rPr>
        <w:t>.</w:t>
      </w:r>
    </w:p>
    <w:p w:rsidR="00DF4D23" w:rsidRDefault="00DF4D23" w:rsidP="00FA32D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4D23" w:rsidRDefault="00DF4D23" w:rsidP="00FA32D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531A" w:rsidRPr="00300CC1" w:rsidRDefault="00115308" w:rsidP="00300CC1">
      <w:pPr>
        <w:pStyle w:val="PargrafodaLista1"/>
        <w:spacing w:before="360" w:after="360" w:line="48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2.6</w:t>
      </w:r>
      <w:r w:rsidR="00FA32D8">
        <w:rPr>
          <w:rFonts w:ascii="Times New Roman" w:hAnsi="Times New Roman"/>
          <w:sz w:val="24"/>
          <w:szCs w:val="24"/>
        </w:rPr>
        <w:t xml:space="preserve"> </w:t>
      </w:r>
      <w:r w:rsidRPr="00300CC1">
        <w:rPr>
          <w:rFonts w:ascii="Times New Roman" w:hAnsi="Times New Roman"/>
          <w:b/>
          <w:sz w:val="24"/>
          <w:szCs w:val="24"/>
        </w:rPr>
        <w:t>Análise dos dados</w:t>
      </w:r>
    </w:p>
    <w:p w:rsidR="00FA32D8" w:rsidRDefault="00FA32D8" w:rsidP="00FA32D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Todos os dados coletados para a pesquisa foram relacionados, analisados e compilados graficamente a partir do software </w:t>
      </w:r>
      <w:r>
        <w:rPr>
          <w:rFonts w:ascii="Times New Roman" w:hAnsi="Times New Roman"/>
          <w:i/>
          <w:sz w:val="24"/>
          <w:szCs w:val="24"/>
        </w:rPr>
        <w:t xml:space="preserve">Excel® </w:t>
      </w:r>
      <w:r>
        <w:rPr>
          <w:rFonts w:ascii="Times New Roman" w:hAnsi="Times New Roman"/>
          <w:sz w:val="24"/>
          <w:szCs w:val="24"/>
        </w:rPr>
        <w:t>2010.</w:t>
      </w:r>
    </w:p>
    <w:p w:rsidR="0065531A" w:rsidRDefault="00115308" w:rsidP="00300CC1">
      <w:pPr>
        <w:pStyle w:val="PargrafodaLista1"/>
        <w:spacing w:before="360" w:after="360" w:line="48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FA32D8">
        <w:rPr>
          <w:rFonts w:ascii="Times New Roman" w:hAnsi="Times New Roman"/>
          <w:sz w:val="24"/>
          <w:szCs w:val="24"/>
        </w:rPr>
        <w:t xml:space="preserve">2.7 </w:t>
      </w:r>
      <w:r w:rsidRPr="00300CC1">
        <w:rPr>
          <w:rFonts w:ascii="Times New Roman" w:hAnsi="Times New Roman"/>
          <w:b/>
          <w:sz w:val="24"/>
          <w:szCs w:val="24"/>
        </w:rPr>
        <w:t>Aspectos éticos e legais</w:t>
      </w:r>
    </w:p>
    <w:p w:rsidR="00A4227E" w:rsidRDefault="00A4227E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presente trabalho teve como base as diretrizes e normas regulamentadoras de pesquisas envolvendo seres humanos</w:t>
      </w:r>
      <w:r w:rsidR="00516184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466/12 do Conselho Nacional de Saúde, sendo submetido ao comitê de ética e pesquisa com seres humanos do Instituto de Ensino e Pesquisa da Santa Casa de Belo Horizonte - MG e aprovado sob o parecer nº 893.338/2014.</w:t>
      </w:r>
    </w:p>
    <w:p w:rsidR="0065531A" w:rsidRDefault="0065531A">
      <w:pPr>
        <w:spacing w:after="0" w:line="48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5531A" w:rsidRDefault="00115308" w:rsidP="004A0E0A">
      <w:pPr>
        <w:spacing w:after="0" w:line="48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5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RESULTADOS</w:t>
      </w:r>
    </w:p>
    <w:p w:rsidR="009348C0" w:rsidRDefault="009348C0" w:rsidP="009348C0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Participaram do estudo 32 pacientes</w:t>
      </w:r>
      <w:r w:rsidR="00E9157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sendo 59,4% (n=19) do sexo masculino e 40,6% (n=13) do sexo feminino. A faixa etária variou entre 8 meses e 17 anos, sendo a média de idade 6,4 anos. </w:t>
      </w:r>
      <w:r w:rsidR="00E91575">
        <w:rPr>
          <w:rFonts w:ascii="Times New Roman" w:hAnsi="Times New Roman"/>
          <w:sz w:val="24"/>
          <w:szCs w:val="24"/>
        </w:rPr>
        <w:t>Do total de pacientes, 50%</w:t>
      </w:r>
      <w:r>
        <w:rPr>
          <w:rFonts w:ascii="Times New Roman" w:hAnsi="Times New Roman"/>
          <w:sz w:val="24"/>
          <w:szCs w:val="24"/>
        </w:rPr>
        <w:t xml:space="preserve"> </w:t>
      </w:r>
      <w:r w:rsidR="00E91575">
        <w:rPr>
          <w:rFonts w:ascii="Times New Roman" w:hAnsi="Times New Roman"/>
          <w:sz w:val="24"/>
          <w:szCs w:val="24"/>
        </w:rPr>
        <w:t>(n=16)</w:t>
      </w:r>
      <w:r w:rsidR="004238D4">
        <w:rPr>
          <w:rFonts w:ascii="Times New Roman" w:hAnsi="Times New Roman"/>
          <w:sz w:val="24"/>
          <w:szCs w:val="24"/>
        </w:rPr>
        <w:t xml:space="preserve"> </w:t>
      </w:r>
      <w:r w:rsidR="00516184">
        <w:rPr>
          <w:rFonts w:ascii="Times New Roman" w:hAnsi="Times New Roman"/>
          <w:sz w:val="24"/>
          <w:szCs w:val="24"/>
        </w:rPr>
        <w:t>possuíam</w:t>
      </w:r>
      <w:r w:rsidR="00C4554E">
        <w:rPr>
          <w:rFonts w:ascii="Times New Roman" w:hAnsi="Times New Roman"/>
          <w:sz w:val="24"/>
          <w:szCs w:val="24"/>
        </w:rPr>
        <w:t xml:space="preserve"> idade menor que 5 anos</w:t>
      </w:r>
      <w:r w:rsidR="00E91575">
        <w:rPr>
          <w:rFonts w:ascii="Times New Roman" w:hAnsi="Times New Roman"/>
          <w:sz w:val="24"/>
          <w:szCs w:val="24"/>
        </w:rPr>
        <w:t xml:space="preserve"> e </w:t>
      </w:r>
      <w:r w:rsidR="00C4554E">
        <w:rPr>
          <w:rFonts w:ascii="Times New Roman" w:hAnsi="Times New Roman"/>
          <w:sz w:val="24"/>
          <w:szCs w:val="24"/>
        </w:rPr>
        <w:t>os</w:t>
      </w:r>
      <w:r w:rsidR="00E91575">
        <w:rPr>
          <w:rFonts w:ascii="Times New Roman" w:hAnsi="Times New Roman"/>
          <w:sz w:val="24"/>
          <w:szCs w:val="24"/>
        </w:rPr>
        <w:t xml:space="preserve"> outros</w:t>
      </w:r>
      <w:r>
        <w:rPr>
          <w:rFonts w:ascii="Times New Roman" w:hAnsi="Times New Roman"/>
          <w:sz w:val="24"/>
          <w:szCs w:val="24"/>
        </w:rPr>
        <w:t xml:space="preserve"> 50% </w:t>
      </w:r>
      <w:r w:rsidR="00E91575">
        <w:rPr>
          <w:rFonts w:ascii="Times New Roman" w:hAnsi="Times New Roman"/>
          <w:sz w:val="24"/>
          <w:szCs w:val="24"/>
        </w:rPr>
        <w:t>entre</w:t>
      </w:r>
      <w:r>
        <w:rPr>
          <w:rFonts w:ascii="Times New Roman" w:hAnsi="Times New Roman"/>
          <w:sz w:val="24"/>
          <w:szCs w:val="24"/>
        </w:rPr>
        <w:t xml:space="preserve"> 5 </w:t>
      </w:r>
      <w:r w:rsidR="00E9157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19 anos (n=16).</w:t>
      </w:r>
    </w:p>
    <w:p w:rsidR="00A4227E" w:rsidRDefault="00A4227E" w:rsidP="00A4227E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relação ao tipo de tumor encontrado na população em estudo, a maioria correspondeu </w:t>
      </w:r>
      <w:r w:rsidR="003047F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leucemia, seguida por linfomas, tumores do sistema nervoso central, tumores do sistema nervoso simpático, sarcomas de partes moles,</w:t>
      </w:r>
      <w:r w:rsidR="00E915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carcinomas e outras neoplasias malignas epiteliais, tumores renais e tumores ósseos malignos (Tabela 1).</w:t>
      </w:r>
    </w:p>
    <w:p w:rsidR="00A4227E" w:rsidRDefault="00A4227E" w:rsidP="00A4227E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Quando analisados por </w:t>
      </w:r>
      <w:r w:rsidR="00E91575">
        <w:rPr>
          <w:rFonts w:ascii="Times New Roman" w:hAnsi="Times New Roman"/>
          <w:sz w:val="24"/>
          <w:szCs w:val="24"/>
        </w:rPr>
        <w:t>gênero</w:t>
      </w:r>
      <w:r>
        <w:rPr>
          <w:rFonts w:ascii="Times New Roman" w:hAnsi="Times New Roman"/>
          <w:sz w:val="24"/>
          <w:szCs w:val="24"/>
        </w:rPr>
        <w:t xml:space="preserve">, o tipo de tumor mais frequente nas meninas foi a leucemia (69,2%), seguido por tumores do sistema nervoso central (15,4%) e tumores do sistema nervoso simpático (7,7%). Já nos meninos, o tipo de tumor mais frequente </w:t>
      </w:r>
      <w:r>
        <w:rPr>
          <w:rFonts w:ascii="Times New Roman" w:hAnsi="Times New Roman"/>
          <w:sz w:val="24"/>
          <w:szCs w:val="24"/>
        </w:rPr>
        <w:lastRenderedPageBreak/>
        <w:t>foi o linfoma (36,8%), seguido por leucemia (21,1%) e tumores do sistema nervoso simpático (10,5%) (Tabela 1).</w:t>
      </w:r>
    </w:p>
    <w:tbl>
      <w:tblPr>
        <w:tblW w:w="8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5"/>
        <w:gridCol w:w="146"/>
        <w:gridCol w:w="146"/>
        <w:gridCol w:w="394"/>
        <w:gridCol w:w="811"/>
        <w:gridCol w:w="194"/>
        <w:gridCol w:w="406"/>
        <w:gridCol w:w="826"/>
        <w:gridCol w:w="194"/>
        <w:gridCol w:w="374"/>
        <w:gridCol w:w="783"/>
      </w:tblGrid>
      <w:tr w:rsidR="00A4227E" w:rsidRPr="006748B0" w:rsidTr="0059432A">
        <w:trPr>
          <w:trHeight w:val="300"/>
        </w:trPr>
        <w:tc>
          <w:tcPr>
            <w:tcW w:w="8380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4227E" w:rsidRPr="006748B0" w:rsidRDefault="00A4227E" w:rsidP="00224F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 xml:space="preserve">Tabela 1 - Tipos de tumor </w:t>
            </w:r>
            <w:r w:rsidR="003047FC">
              <w:rPr>
                <w:rFonts w:ascii="Times New Roman" w:hAnsi="Times New Roman"/>
                <w:color w:val="000000"/>
              </w:rPr>
              <w:t xml:space="preserve">de acordo com </w:t>
            </w:r>
            <w:r w:rsidR="00224F9A">
              <w:rPr>
                <w:rFonts w:ascii="Times New Roman" w:hAnsi="Times New Roman"/>
                <w:color w:val="000000"/>
              </w:rPr>
              <w:t>o gênero</w:t>
            </w:r>
            <w:r w:rsidRPr="006748B0">
              <w:rPr>
                <w:rFonts w:ascii="Times New Roman" w:hAnsi="Times New Roman"/>
                <w:color w:val="000000"/>
              </w:rPr>
              <w:t xml:space="preserve"> e sua expressão em </w:t>
            </w:r>
            <w:r w:rsidR="00A540D7" w:rsidRPr="006748B0">
              <w:rPr>
                <w:rFonts w:ascii="Times New Roman" w:hAnsi="Times New Roman"/>
                <w:color w:val="000000"/>
              </w:rPr>
              <w:t>frequência</w:t>
            </w:r>
            <w:r w:rsidRPr="006748B0">
              <w:rPr>
                <w:rFonts w:ascii="Times New Roman" w:hAnsi="Times New Roman"/>
                <w:color w:val="000000"/>
              </w:rPr>
              <w:t xml:space="preserve"> absoluta e relativa.</w:t>
            </w:r>
          </w:p>
        </w:tc>
      </w:tr>
      <w:tr w:rsidR="00A4227E" w:rsidRPr="006748B0" w:rsidTr="0059432A">
        <w:trPr>
          <w:trHeight w:val="300"/>
        </w:trPr>
        <w:tc>
          <w:tcPr>
            <w:tcW w:w="8380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4227E" w:rsidRPr="006748B0" w:rsidTr="0059432A">
        <w:trPr>
          <w:trHeight w:val="300"/>
        </w:trPr>
        <w:tc>
          <w:tcPr>
            <w:tcW w:w="449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748B0">
              <w:rPr>
                <w:rFonts w:ascii="Times New Roman" w:hAnsi="Times New Roman"/>
                <w:b/>
                <w:bCs/>
                <w:color w:val="000000"/>
              </w:rPr>
              <w:t>Tipo de tumor</w:t>
            </w:r>
          </w:p>
        </w:tc>
        <w:tc>
          <w:tcPr>
            <w:tcW w:w="3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748B0">
              <w:rPr>
                <w:rFonts w:ascii="Times New Roman" w:hAnsi="Times New Roman"/>
                <w:b/>
                <w:bCs/>
                <w:color w:val="000000"/>
              </w:rPr>
              <w:t>Número de casos</w:t>
            </w:r>
          </w:p>
        </w:tc>
      </w:tr>
      <w:tr w:rsidR="00A4227E" w:rsidRPr="006748B0" w:rsidTr="0059432A">
        <w:trPr>
          <w:trHeight w:val="300"/>
        </w:trPr>
        <w:tc>
          <w:tcPr>
            <w:tcW w:w="449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748B0">
              <w:rPr>
                <w:rFonts w:ascii="Times New Roman" w:hAnsi="Times New Roman"/>
                <w:b/>
                <w:bCs/>
                <w:color w:val="000000"/>
              </w:rPr>
              <w:t>Feminino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748B0">
              <w:rPr>
                <w:rFonts w:ascii="Times New Roman" w:hAnsi="Times New Roman"/>
                <w:b/>
                <w:bCs/>
                <w:color w:val="000000"/>
              </w:rPr>
              <w:t>Masculino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748B0">
              <w:rPr>
                <w:rFonts w:ascii="Times New Roman" w:hAnsi="Times New Roman"/>
                <w:b/>
                <w:bCs/>
                <w:color w:val="000000"/>
              </w:rPr>
              <w:t>Total</w:t>
            </w:r>
          </w:p>
        </w:tc>
      </w:tr>
      <w:tr w:rsidR="00A4227E" w:rsidRPr="006748B0" w:rsidTr="0059432A">
        <w:trPr>
          <w:trHeight w:val="300"/>
        </w:trPr>
        <w:tc>
          <w:tcPr>
            <w:tcW w:w="449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748B0">
              <w:rPr>
                <w:rFonts w:ascii="Times New Roman" w:hAnsi="Times New Roman"/>
                <w:b/>
                <w:bCs/>
                <w:color w:val="000000"/>
              </w:rPr>
              <w:t>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748B0">
              <w:rPr>
                <w:rFonts w:ascii="Times New Roman" w:hAnsi="Times New Roman"/>
                <w:b/>
                <w:bCs/>
                <w:color w:val="000000"/>
              </w:rPr>
              <w:t>%</w:t>
            </w:r>
          </w:p>
        </w:tc>
        <w:tc>
          <w:tcPr>
            <w:tcW w:w="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748B0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748B0">
              <w:rPr>
                <w:rFonts w:ascii="Times New Roman" w:hAnsi="Times New Roman"/>
                <w:b/>
                <w:bCs/>
                <w:color w:val="000000"/>
              </w:rPr>
              <w:t>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748B0">
              <w:rPr>
                <w:rFonts w:ascii="Times New Roman" w:hAnsi="Times New Roman"/>
                <w:b/>
                <w:bCs/>
                <w:color w:val="000000"/>
              </w:rPr>
              <w:t>%</w:t>
            </w:r>
          </w:p>
        </w:tc>
        <w:tc>
          <w:tcPr>
            <w:tcW w:w="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748B0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748B0">
              <w:rPr>
                <w:rFonts w:ascii="Times New Roman" w:hAnsi="Times New Roman"/>
                <w:b/>
                <w:bCs/>
                <w:color w:val="000000"/>
              </w:rPr>
              <w:t>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748B0">
              <w:rPr>
                <w:rFonts w:ascii="Times New Roman" w:hAnsi="Times New Roman"/>
                <w:b/>
                <w:bCs/>
                <w:color w:val="000000"/>
              </w:rPr>
              <w:t>%</w:t>
            </w:r>
          </w:p>
        </w:tc>
      </w:tr>
      <w:tr w:rsidR="00A4227E" w:rsidRPr="006748B0" w:rsidTr="0059432A">
        <w:trPr>
          <w:trHeight w:val="300"/>
        </w:trPr>
        <w:tc>
          <w:tcPr>
            <w:tcW w:w="4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Leucemias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69,2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21,1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40,6</w:t>
            </w:r>
          </w:p>
        </w:tc>
      </w:tr>
      <w:tr w:rsidR="00A4227E" w:rsidRPr="006748B0" w:rsidTr="0059432A">
        <w:trPr>
          <w:trHeight w:val="300"/>
        </w:trPr>
        <w:tc>
          <w:tcPr>
            <w:tcW w:w="4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Linfomas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36,8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21,9</w:t>
            </w:r>
          </w:p>
        </w:tc>
      </w:tr>
      <w:tr w:rsidR="00A4227E" w:rsidRPr="006748B0" w:rsidTr="0059432A">
        <w:trPr>
          <w:trHeight w:val="300"/>
        </w:trPr>
        <w:tc>
          <w:tcPr>
            <w:tcW w:w="4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Tumores do Sistema Nervoso Central (SNC)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15,4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5,3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9,4</w:t>
            </w:r>
          </w:p>
        </w:tc>
      </w:tr>
      <w:tr w:rsidR="00A4227E" w:rsidRPr="006748B0" w:rsidTr="0059432A">
        <w:trPr>
          <w:trHeight w:val="300"/>
        </w:trPr>
        <w:tc>
          <w:tcPr>
            <w:tcW w:w="4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Tumores do Sistema Nervoso Simpático (SNS)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7,7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10,5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9,4</w:t>
            </w:r>
          </w:p>
        </w:tc>
      </w:tr>
      <w:tr w:rsidR="00A4227E" w:rsidRPr="006748B0" w:rsidTr="0059432A">
        <w:trPr>
          <w:trHeight w:val="300"/>
        </w:trPr>
        <w:tc>
          <w:tcPr>
            <w:tcW w:w="4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Sarcomas de partes moles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10,5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6,3</w:t>
            </w:r>
          </w:p>
        </w:tc>
      </w:tr>
      <w:tr w:rsidR="00A4227E" w:rsidRPr="006748B0" w:rsidTr="0059432A">
        <w:trPr>
          <w:trHeight w:val="300"/>
        </w:trPr>
        <w:tc>
          <w:tcPr>
            <w:tcW w:w="4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Carcinomas e outras neoplasias malignas epiteliais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7,7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5,3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6,3</w:t>
            </w:r>
          </w:p>
        </w:tc>
      </w:tr>
      <w:tr w:rsidR="00A4227E" w:rsidRPr="006748B0" w:rsidTr="0059432A">
        <w:trPr>
          <w:trHeight w:val="300"/>
        </w:trPr>
        <w:tc>
          <w:tcPr>
            <w:tcW w:w="4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Tumores renais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5,3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3,1</w:t>
            </w:r>
          </w:p>
        </w:tc>
      </w:tr>
      <w:tr w:rsidR="00A4227E" w:rsidRPr="006748B0" w:rsidTr="0059432A">
        <w:trPr>
          <w:trHeight w:val="300"/>
        </w:trPr>
        <w:tc>
          <w:tcPr>
            <w:tcW w:w="4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Tumores ósseos malignos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5,3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3,1</w:t>
            </w:r>
          </w:p>
        </w:tc>
      </w:tr>
      <w:tr w:rsidR="00A4227E" w:rsidRPr="006748B0" w:rsidTr="0059432A">
        <w:trPr>
          <w:trHeight w:val="300"/>
        </w:trPr>
        <w:tc>
          <w:tcPr>
            <w:tcW w:w="44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Total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A4227E" w:rsidRPr="006748B0" w:rsidTr="0059432A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748B0">
              <w:rPr>
                <w:rFonts w:ascii="Times New Roman" w:hAnsi="Times New Roman"/>
                <w:color w:val="000000"/>
              </w:rPr>
              <w:t>Fonte: Os autores (2015)</w:t>
            </w:r>
            <w:r w:rsidR="00C4554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27E" w:rsidRPr="006748B0" w:rsidRDefault="00A4227E" w:rsidP="0059432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A4227E" w:rsidRDefault="00A4227E" w:rsidP="00A422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4227E" w:rsidRDefault="00A4227E" w:rsidP="00A4227E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avaliar o estado nutricional dos pacientes por tipo de tumor, hematológicos (leucemias e linfomas) e sólidos, segundo a classificação da</w:t>
      </w:r>
      <w:r w:rsidR="00C4554E">
        <w:rPr>
          <w:rFonts w:ascii="Times New Roman" w:hAnsi="Times New Roman"/>
          <w:sz w:val="24"/>
          <w:szCs w:val="24"/>
        </w:rPr>
        <w:t xml:space="preserve"> WHO</w:t>
      </w:r>
      <w:r>
        <w:rPr>
          <w:rFonts w:ascii="Times New Roman" w:hAnsi="Times New Roman"/>
          <w:sz w:val="24"/>
          <w:szCs w:val="24"/>
        </w:rPr>
        <w:t>, foi observado que a maioria dos pacientes com tumores hematológicos encontrava-se eutrófic</w:t>
      </w:r>
      <w:r w:rsidR="00A540D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(50%), </w:t>
      </w:r>
      <w:r w:rsidR="003047FC">
        <w:rPr>
          <w:rFonts w:ascii="Times New Roman" w:hAnsi="Times New Roman"/>
          <w:sz w:val="24"/>
          <w:szCs w:val="24"/>
        </w:rPr>
        <w:t xml:space="preserve">seguida por </w:t>
      </w:r>
      <w:r>
        <w:rPr>
          <w:rFonts w:ascii="Times New Roman" w:hAnsi="Times New Roman"/>
          <w:sz w:val="24"/>
          <w:szCs w:val="24"/>
        </w:rPr>
        <w:t>risco de sobrepeso (30%), obesidade (15%) e magreza (5%). O mesmo foi observado nos pacientes com tumores sólidos, onde a eutrofia também prevaleceu (41,7%), seguida por alto percentual de sobrepeso (41,7%) e baixos percentuais de magreza acentuada (8,3%) e risco de sobrepeso (8,3%) (Gráfico 1).</w:t>
      </w:r>
    </w:p>
    <w:p w:rsidR="00DF4D23" w:rsidRDefault="00DF4D23" w:rsidP="00A4227E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4D23" w:rsidRDefault="00DF4D23" w:rsidP="00A4227E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4D23" w:rsidRDefault="00DF4D23" w:rsidP="00A4227E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4D23" w:rsidRDefault="00DF4D23" w:rsidP="00A4227E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4D23" w:rsidRDefault="00DF4D23" w:rsidP="00A4227E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4D23" w:rsidRDefault="00DF4D23" w:rsidP="00A4227E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/>
        </w:rPr>
      </w:pPr>
      <w:r w:rsidRPr="00A872A1">
        <w:rPr>
          <w:rFonts w:ascii="Times New Roman" w:hAnsi="Times New Roman"/>
        </w:rPr>
        <w:t>Gráfico 1</w:t>
      </w:r>
      <w:r w:rsidRPr="00A872A1">
        <w:t xml:space="preserve">― </w:t>
      </w:r>
      <w:r w:rsidRPr="00A872A1">
        <w:rPr>
          <w:rFonts w:ascii="Times New Roman" w:hAnsi="Times New Roman"/>
        </w:rPr>
        <w:t>Estado nutricional por tipo de tumor,  segundo a</w:t>
      </w:r>
      <w:r w:rsidR="009348C0" w:rsidRPr="00A872A1">
        <w:rPr>
          <w:rFonts w:ascii="Times New Roman" w:hAnsi="Times New Roman"/>
        </w:rPr>
        <w:t xml:space="preserve"> </w:t>
      </w:r>
      <w:r w:rsidRPr="00A872A1">
        <w:rPr>
          <w:rFonts w:ascii="Times New Roman" w:hAnsi="Times New Roman"/>
        </w:rPr>
        <w:t>classificação da WHO.</w:t>
      </w:r>
    </w:p>
    <w:p w:rsidR="00DF4D23" w:rsidRPr="00A872A1" w:rsidRDefault="00DF4D23" w:rsidP="00A4227E">
      <w:pPr>
        <w:spacing w:after="0" w:line="240" w:lineRule="auto"/>
        <w:rPr>
          <w:rFonts w:ascii="Times New Roman" w:hAnsi="Times New Roman"/>
        </w:rPr>
      </w:pPr>
    </w:p>
    <w:p w:rsidR="00A4227E" w:rsidRPr="00A872A1" w:rsidRDefault="00957790" w:rsidP="00A4227E">
      <w:pPr>
        <w:spacing w:after="0" w:line="240" w:lineRule="auto"/>
        <w:rPr>
          <w:rFonts w:ascii="Times New Roman" w:hAnsi="Times New Roman"/>
        </w:rPr>
      </w:pPr>
      <w:r w:rsidRPr="00A872A1">
        <w:rPr>
          <w:rFonts w:ascii="Times New Roman" w:hAnsi="Times New Roman"/>
          <w:noProof/>
        </w:rPr>
        <w:drawing>
          <wp:inline distT="0" distB="0" distL="0" distR="0" wp14:anchorId="197E001F" wp14:editId="11D76DDF">
            <wp:extent cx="4503420" cy="2583180"/>
            <wp:effectExtent l="0" t="0" r="11430" b="26670"/>
            <wp:docPr id="1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4227E" w:rsidRDefault="00DA1367" w:rsidP="0036347A">
      <w:pPr>
        <w:tabs>
          <w:tab w:val="left" w:pos="900"/>
        </w:tabs>
        <w:jc w:val="both"/>
        <w:outlineLvl w:val="0"/>
      </w:pPr>
      <w:r w:rsidRPr="00A872A1">
        <w:rPr>
          <w:rFonts w:ascii="Times New Roman" w:hAnsi="Times New Roman"/>
        </w:rPr>
        <w:t>Fonte</w:t>
      </w:r>
      <w:r w:rsidR="005C0A60">
        <w:rPr>
          <w:rFonts w:ascii="Times New Roman" w:hAnsi="Times New Roman"/>
        </w:rPr>
        <w:t xml:space="preserve"> ― </w:t>
      </w:r>
      <w:r w:rsidRPr="00A872A1">
        <w:rPr>
          <w:rFonts w:ascii="Times New Roman" w:hAnsi="Times New Roman"/>
        </w:rPr>
        <w:t>Os autores (2015)</w:t>
      </w:r>
      <w:r w:rsidR="0036347A" w:rsidRPr="00A872A1">
        <w:rPr>
          <w:rFonts w:ascii="Times New Roman" w:hAnsi="Times New Roman"/>
        </w:rPr>
        <w:t>.</w:t>
      </w:r>
    </w:p>
    <w:p w:rsidR="00A4227E" w:rsidRDefault="00A4227E" w:rsidP="00A4227E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Quando classificados através do percentual de adequação da CB</w:t>
      </w:r>
      <w:r w:rsidR="00DF4D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foi observado um estado nutricional mais estratificado. A eutrofia manteve-se como o estado nutricional mais frequ</w:t>
      </w:r>
      <w:r w:rsidR="00C4554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 nas crianças com tumores hematológicos</w:t>
      </w:r>
      <w:r w:rsidR="00815A5B">
        <w:rPr>
          <w:rFonts w:ascii="Times New Roman" w:hAnsi="Times New Roman"/>
          <w:sz w:val="24"/>
          <w:szCs w:val="24"/>
        </w:rPr>
        <w:t xml:space="preserve"> (61,1%)</w:t>
      </w:r>
      <w:r>
        <w:rPr>
          <w:rFonts w:ascii="Times New Roman" w:hAnsi="Times New Roman"/>
          <w:sz w:val="24"/>
          <w:szCs w:val="24"/>
        </w:rPr>
        <w:t>, seguida por desnutrição leve</w:t>
      </w:r>
      <w:r w:rsidR="00815A5B">
        <w:rPr>
          <w:rFonts w:ascii="Times New Roman" w:hAnsi="Times New Roman"/>
          <w:sz w:val="24"/>
          <w:szCs w:val="24"/>
        </w:rPr>
        <w:t xml:space="preserve"> (16,7%)</w:t>
      </w:r>
      <w:r>
        <w:rPr>
          <w:rFonts w:ascii="Times New Roman" w:hAnsi="Times New Roman"/>
          <w:sz w:val="24"/>
          <w:szCs w:val="24"/>
        </w:rPr>
        <w:t>, obesidade</w:t>
      </w:r>
      <w:r w:rsidR="00815A5B">
        <w:rPr>
          <w:rFonts w:ascii="Times New Roman" w:hAnsi="Times New Roman"/>
          <w:sz w:val="24"/>
          <w:szCs w:val="24"/>
        </w:rPr>
        <w:t xml:space="preserve"> (11,1%)</w:t>
      </w:r>
      <w:r>
        <w:rPr>
          <w:rFonts w:ascii="Times New Roman" w:hAnsi="Times New Roman"/>
          <w:sz w:val="24"/>
          <w:szCs w:val="24"/>
        </w:rPr>
        <w:t>, desnutrição moderada</w:t>
      </w:r>
      <w:r w:rsidR="00815A5B">
        <w:rPr>
          <w:rFonts w:ascii="Times New Roman" w:hAnsi="Times New Roman"/>
          <w:sz w:val="24"/>
          <w:szCs w:val="24"/>
        </w:rPr>
        <w:t xml:space="preserve"> (5,6%)</w:t>
      </w:r>
      <w:r>
        <w:rPr>
          <w:rFonts w:ascii="Times New Roman" w:hAnsi="Times New Roman"/>
          <w:sz w:val="24"/>
          <w:szCs w:val="24"/>
        </w:rPr>
        <w:t xml:space="preserve"> e sobrepeso</w:t>
      </w:r>
      <w:r w:rsidR="00815A5B">
        <w:rPr>
          <w:rFonts w:ascii="Times New Roman" w:hAnsi="Times New Roman"/>
          <w:sz w:val="24"/>
          <w:szCs w:val="24"/>
        </w:rPr>
        <w:t xml:space="preserve"> (5,6%)</w:t>
      </w:r>
      <w:r>
        <w:rPr>
          <w:rFonts w:ascii="Times New Roman" w:hAnsi="Times New Roman"/>
          <w:sz w:val="24"/>
          <w:szCs w:val="24"/>
        </w:rPr>
        <w:t xml:space="preserve">. Quanto aos pacientes com tumores sólidos, a eutrofia </w:t>
      </w:r>
      <w:r w:rsidR="00815A5B">
        <w:rPr>
          <w:rFonts w:ascii="Times New Roman" w:hAnsi="Times New Roman"/>
          <w:sz w:val="24"/>
          <w:szCs w:val="24"/>
        </w:rPr>
        <w:t>e a desnutrição</w:t>
      </w:r>
      <w:r w:rsidR="00607FBD">
        <w:rPr>
          <w:rFonts w:ascii="Times New Roman" w:hAnsi="Times New Roman"/>
          <w:sz w:val="24"/>
          <w:szCs w:val="24"/>
        </w:rPr>
        <w:t xml:space="preserve"> leve</w:t>
      </w:r>
      <w:r w:rsidR="00815A5B">
        <w:rPr>
          <w:rFonts w:ascii="Times New Roman" w:hAnsi="Times New Roman"/>
          <w:sz w:val="24"/>
          <w:szCs w:val="24"/>
        </w:rPr>
        <w:t xml:space="preserve"> apresentaram</w:t>
      </w:r>
      <w:r w:rsidR="004A5198">
        <w:rPr>
          <w:rFonts w:ascii="Times New Roman" w:hAnsi="Times New Roman"/>
          <w:sz w:val="24"/>
          <w:szCs w:val="24"/>
        </w:rPr>
        <w:t xml:space="preserve"> </w:t>
      </w:r>
      <w:r w:rsidR="00A872A1">
        <w:rPr>
          <w:rFonts w:ascii="Times New Roman" w:hAnsi="Times New Roman"/>
          <w:sz w:val="24"/>
          <w:szCs w:val="24"/>
        </w:rPr>
        <w:t xml:space="preserve">o mesmo percentual </w:t>
      </w:r>
      <w:r w:rsidR="00815A5B">
        <w:rPr>
          <w:rFonts w:ascii="Times New Roman" w:hAnsi="Times New Roman"/>
          <w:sz w:val="24"/>
          <w:szCs w:val="24"/>
        </w:rPr>
        <w:t>(33,3%)</w:t>
      </w:r>
      <w:r>
        <w:rPr>
          <w:rFonts w:ascii="Times New Roman" w:hAnsi="Times New Roman"/>
          <w:sz w:val="24"/>
          <w:szCs w:val="24"/>
        </w:rPr>
        <w:t>, seguido por percentuais importantes de desnutrição grave</w:t>
      </w:r>
      <w:r w:rsidR="00815A5B">
        <w:rPr>
          <w:rFonts w:ascii="Times New Roman" w:hAnsi="Times New Roman"/>
          <w:sz w:val="24"/>
          <w:szCs w:val="24"/>
        </w:rPr>
        <w:t xml:space="preserve"> (16,7%)</w:t>
      </w:r>
      <w:r>
        <w:rPr>
          <w:rFonts w:ascii="Times New Roman" w:hAnsi="Times New Roman"/>
          <w:sz w:val="24"/>
          <w:szCs w:val="24"/>
        </w:rPr>
        <w:t xml:space="preserve">, </w:t>
      </w:r>
      <w:r w:rsidR="00A872A1">
        <w:rPr>
          <w:rFonts w:ascii="Times New Roman" w:hAnsi="Times New Roman"/>
          <w:sz w:val="24"/>
          <w:szCs w:val="24"/>
        </w:rPr>
        <w:t>desnutrição</w:t>
      </w:r>
      <w:r w:rsidR="004A51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moderada</w:t>
      </w:r>
      <w:r w:rsidR="00815A5B">
        <w:rPr>
          <w:rFonts w:ascii="Times New Roman" w:hAnsi="Times New Roman"/>
          <w:sz w:val="24"/>
          <w:szCs w:val="24"/>
        </w:rPr>
        <w:t xml:space="preserve"> (8,3%)</w:t>
      </w:r>
      <w:r>
        <w:rPr>
          <w:rFonts w:ascii="Times New Roman" w:hAnsi="Times New Roman"/>
          <w:sz w:val="24"/>
          <w:szCs w:val="24"/>
        </w:rPr>
        <w:t xml:space="preserve"> e obesidade</w:t>
      </w:r>
      <w:r w:rsidR="00815A5B">
        <w:rPr>
          <w:rFonts w:ascii="Times New Roman" w:hAnsi="Times New Roman"/>
          <w:sz w:val="24"/>
          <w:szCs w:val="24"/>
        </w:rPr>
        <w:t xml:space="preserve"> (8,3%)</w:t>
      </w:r>
      <w:r>
        <w:rPr>
          <w:rFonts w:ascii="Times New Roman" w:hAnsi="Times New Roman"/>
          <w:sz w:val="24"/>
          <w:szCs w:val="24"/>
        </w:rPr>
        <w:t xml:space="preserve"> (Gráfico 2). </w:t>
      </w:r>
    </w:p>
    <w:p w:rsidR="00A4227E" w:rsidRDefault="00A4227E" w:rsidP="00A422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D23" w:rsidRDefault="00DF4D23" w:rsidP="00A422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D23" w:rsidRDefault="00DF4D23" w:rsidP="00A422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D23" w:rsidRDefault="00DF4D23" w:rsidP="00A422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D23" w:rsidRDefault="00DF4D23" w:rsidP="00A422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D23" w:rsidRDefault="00DF4D23" w:rsidP="00A422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D23" w:rsidRDefault="00DF4D23" w:rsidP="00A422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D23" w:rsidRDefault="00DF4D23" w:rsidP="00A422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D23" w:rsidRDefault="00DF4D23" w:rsidP="00A422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D23" w:rsidRDefault="00DF4D23" w:rsidP="00A422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D23" w:rsidRDefault="00DF4D23" w:rsidP="00A422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D23" w:rsidRDefault="00DF4D23" w:rsidP="00A422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Gráfico 2 </w:t>
      </w:r>
      <w:r>
        <w:t xml:space="preserve">― </w:t>
      </w:r>
      <w:r>
        <w:rPr>
          <w:rFonts w:ascii="Times New Roman" w:hAnsi="Times New Roman"/>
        </w:rPr>
        <w:t>Estado nutricional por tipo de tumor, segundo o percentual de adequação da circunferência do braço (CB).</w:t>
      </w:r>
    </w:p>
    <w:p w:rsidR="00DF4D23" w:rsidRDefault="00DF4D23" w:rsidP="00A4227E">
      <w:pPr>
        <w:spacing w:after="0" w:line="240" w:lineRule="auto"/>
        <w:rPr>
          <w:rFonts w:ascii="Times New Roman" w:hAnsi="Times New Roman"/>
        </w:rPr>
      </w:pPr>
    </w:p>
    <w:p w:rsidR="006871E3" w:rsidRDefault="0038577A" w:rsidP="0038577A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04B1F9E2" wp14:editId="3ACC1890">
            <wp:extent cx="4619625" cy="2590800"/>
            <wp:effectExtent l="19050" t="0" r="9525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8577A" w:rsidRDefault="0038577A" w:rsidP="0038577A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Fonte ― Os autores (2015).</w:t>
      </w:r>
    </w:p>
    <w:p w:rsidR="00A4227E" w:rsidRDefault="00A4227E" w:rsidP="00A4227E">
      <w:pPr>
        <w:spacing w:after="0" w:line="240" w:lineRule="auto"/>
        <w:rPr>
          <w:rFonts w:ascii="Times New Roman" w:hAnsi="Times New Roman"/>
        </w:rPr>
      </w:pPr>
    </w:p>
    <w:p w:rsidR="00DF4D23" w:rsidRDefault="00DF4D23" w:rsidP="00A4227E">
      <w:pPr>
        <w:spacing w:after="0" w:line="240" w:lineRule="auto"/>
        <w:rPr>
          <w:rFonts w:ascii="Times New Roman" w:hAnsi="Times New Roman"/>
        </w:rPr>
      </w:pPr>
    </w:p>
    <w:p w:rsidR="0065531A" w:rsidRDefault="00115308" w:rsidP="004A0E0A">
      <w:pPr>
        <w:spacing w:after="0" w:line="48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238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DISCUSSÃO</w:t>
      </w:r>
    </w:p>
    <w:p w:rsidR="002412D9" w:rsidRDefault="002412D9" w:rsidP="00B072BD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partir dos resultados apresentados a leucemia foi a neoplasia mais frequente</w:t>
      </w:r>
      <w:r w:rsidR="00A872A1">
        <w:rPr>
          <w:rFonts w:ascii="Times New Roman" w:hAnsi="Times New Roman"/>
          <w:sz w:val="24"/>
          <w:szCs w:val="24"/>
        </w:rPr>
        <w:t xml:space="preserve"> no estudo. Segundo estimativas</w:t>
      </w:r>
      <w:r w:rsidR="00B072BD">
        <w:rPr>
          <w:rFonts w:ascii="Times New Roman" w:hAnsi="Times New Roman"/>
          <w:sz w:val="24"/>
          <w:szCs w:val="24"/>
        </w:rPr>
        <w:t xml:space="preserve"> </w:t>
      </w:r>
      <w:r w:rsidR="00A872A1">
        <w:rPr>
          <w:rFonts w:ascii="Times New Roman" w:hAnsi="Times New Roman"/>
          <w:sz w:val="24"/>
          <w:szCs w:val="24"/>
        </w:rPr>
        <w:t>do</w:t>
      </w:r>
      <w:r w:rsidR="009B1BDD">
        <w:rPr>
          <w:rFonts w:ascii="Times New Roman" w:hAnsi="Times New Roman"/>
          <w:sz w:val="24"/>
          <w:szCs w:val="24"/>
        </w:rPr>
        <w:t xml:space="preserve"> INCA, </w:t>
      </w:r>
      <w:r w:rsidR="00B072BD">
        <w:rPr>
          <w:rFonts w:ascii="Times New Roman" w:hAnsi="Times New Roman"/>
          <w:sz w:val="24"/>
          <w:szCs w:val="24"/>
        </w:rPr>
        <w:t>a leucemia é o tipo de neoplasia mais comum na população pediátrica (25% a 35%) (INSTITUTO NACIONAL DE CÂNCER JOSÉ DE ALENCAR</w:t>
      </w:r>
      <w:r w:rsidR="0089165D">
        <w:rPr>
          <w:rFonts w:ascii="Times New Roman" w:hAnsi="Times New Roman"/>
          <w:sz w:val="24"/>
          <w:szCs w:val="24"/>
        </w:rPr>
        <w:t xml:space="preserve"> GOMES DA SILVA</w:t>
      </w:r>
      <w:r w:rsidR="00B072BD">
        <w:rPr>
          <w:rFonts w:ascii="Times New Roman" w:hAnsi="Times New Roman"/>
          <w:sz w:val="24"/>
          <w:szCs w:val="24"/>
        </w:rPr>
        <w:t>, 201</w:t>
      </w:r>
      <w:r w:rsidR="00656252">
        <w:rPr>
          <w:rFonts w:ascii="Times New Roman" w:hAnsi="Times New Roman"/>
          <w:sz w:val="24"/>
          <w:szCs w:val="24"/>
        </w:rPr>
        <w:t>5</w:t>
      </w:r>
      <w:r w:rsidR="00B072BD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 xml:space="preserve">No estudo realizado por Elman e Silva (2007) as leucemias também se destacaram como o tipo de câncer mais </w:t>
      </w:r>
      <w:r w:rsidR="00B072BD">
        <w:rPr>
          <w:rFonts w:ascii="Times New Roman" w:hAnsi="Times New Roman"/>
          <w:sz w:val="24"/>
          <w:szCs w:val="24"/>
        </w:rPr>
        <w:t>comum</w:t>
      </w:r>
      <w:r>
        <w:rPr>
          <w:rFonts w:ascii="Times New Roman" w:hAnsi="Times New Roman"/>
          <w:sz w:val="24"/>
          <w:szCs w:val="24"/>
        </w:rPr>
        <w:t>,</w:t>
      </w:r>
      <w:r w:rsidR="00A872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principalmente a Leucemia Linfocítica Aguda (LLA), correspondendo a cerca </w:t>
      </w:r>
      <w:r w:rsidR="00A872A1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30% de todas as doenças malignas que acometem pacientes menores de 14 anos.</w:t>
      </w:r>
    </w:p>
    <w:p w:rsidR="0089165D" w:rsidRDefault="00A872A1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Quanto ao gênero, o sexo masculino compôs a maior parte da amostra estudada. </w:t>
      </w:r>
      <w:r w:rsidR="00115308">
        <w:rPr>
          <w:rFonts w:ascii="Times New Roman" w:hAnsi="Times New Roman"/>
          <w:sz w:val="24"/>
          <w:szCs w:val="24"/>
        </w:rPr>
        <w:t xml:space="preserve">Segundo o Instituto Nacional de Câncer José Alencar Gomes da Silva (2014) a incidência de todos os tumores malignos na infância é ligeiramente maior no sexo masculino do que no feminino. Mas, quanto aos motivos que justifiquem tal incidência, não foram encontrados dados na literatura. </w:t>
      </w:r>
    </w:p>
    <w:p w:rsidR="0065531A" w:rsidRDefault="001153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Em relação ao tipo de tumor mais frequente </w:t>
      </w:r>
      <w:r w:rsidR="00A872A1">
        <w:rPr>
          <w:rFonts w:ascii="Times New Roman" w:hAnsi="Times New Roman"/>
          <w:sz w:val="24"/>
          <w:szCs w:val="24"/>
        </w:rPr>
        <w:t xml:space="preserve">de acordo com o </w:t>
      </w:r>
      <w:r w:rsidR="00224F9A">
        <w:rPr>
          <w:rFonts w:ascii="Times New Roman" w:hAnsi="Times New Roman"/>
          <w:sz w:val="24"/>
          <w:szCs w:val="24"/>
        </w:rPr>
        <w:t>gênero</w:t>
      </w:r>
      <w:r>
        <w:rPr>
          <w:rFonts w:ascii="Times New Roman" w:hAnsi="Times New Roman"/>
          <w:sz w:val="24"/>
          <w:szCs w:val="24"/>
        </w:rPr>
        <w:t>,</w:t>
      </w:r>
      <w:r w:rsidR="0089165D">
        <w:rPr>
          <w:rFonts w:ascii="Times New Roman" w:hAnsi="Times New Roman"/>
          <w:sz w:val="24"/>
          <w:szCs w:val="24"/>
        </w:rPr>
        <w:t xml:space="preserve"> no presente estudo as leucemias foram mais frequentes </w:t>
      </w:r>
      <w:r w:rsidR="00DE780A">
        <w:rPr>
          <w:rFonts w:ascii="Times New Roman" w:hAnsi="Times New Roman"/>
          <w:sz w:val="24"/>
          <w:szCs w:val="24"/>
        </w:rPr>
        <w:t>no sexo feminino</w:t>
      </w:r>
      <w:r w:rsidR="0089165D">
        <w:rPr>
          <w:rFonts w:ascii="Times New Roman" w:hAnsi="Times New Roman"/>
          <w:sz w:val="24"/>
          <w:szCs w:val="24"/>
        </w:rPr>
        <w:t xml:space="preserve"> e os linfomas no</w:t>
      </w:r>
      <w:r w:rsidR="00DE780A">
        <w:rPr>
          <w:rFonts w:ascii="Times New Roman" w:hAnsi="Times New Roman"/>
          <w:sz w:val="24"/>
          <w:szCs w:val="24"/>
        </w:rPr>
        <w:t xml:space="preserve"> masculino</w:t>
      </w:r>
      <w:r w:rsidR="0089165D">
        <w:rPr>
          <w:rFonts w:ascii="Times New Roman" w:hAnsi="Times New Roman"/>
          <w:sz w:val="24"/>
          <w:szCs w:val="24"/>
        </w:rPr>
        <w:t xml:space="preserve">. </w:t>
      </w:r>
      <w:r w:rsidR="00DE780A">
        <w:rPr>
          <w:rFonts w:ascii="Times New Roman" w:hAnsi="Times New Roman"/>
          <w:sz w:val="24"/>
          <w:szCs w:val="24"/>
        </w:rPr>
        <w:t xml:space="preserve">Um estudo realizado por Caram e colaboradores (2012) também observou a leucemia como o câncer mais prevalente nas meninas, cerca de 57,1% da amostra. </w:t>
      </w:r>
      <w:r w:rsidR="0089165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 achados literários mostram o linfoma não Hodgkin como a neoplasia mais comum no sexo masculino (BOUZAS; CALAZANS, 2007).</w:t>
      </w:r>
      <w:r w:rsidR="004F551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Já Elman e Silva (2007) relataram a leucemia como o tipo de câncer mais comum nos meninos, principalmente a LLA. Contudo, ainda não há dados concisos sobre esses temas na literatura e mais pesquisas são necessárias para avaliar essa questão.</w:t>
      </w:r>
    </w:p>
    <w:p w:rsidR="0065531A" w:rsidRDefault="00BC7971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Atualmente a</w:t>
      </w:r>
      <w:r w:rsidR="00115308">
        <w:rPr>
          <w:rFonts w:ascii="Times New Roman" w:hAnsi="Times New Roman"/>
          <w:sz w:val="24"/>
          <w:szCs w:val="24"/>
        </w:rPr>
        <w:t xml:space="preserve"> antropometria é a ferramenta mais utilizada para a avaliação nutricional em crianças</w:t>
      </w:r>
      <w:r w:rsidR="004F551F">
        <w:rPr>
          <w:rFonts w:ascii="Times New Roman" w:hAnsi="Times New Roman"/>
          <w:sz w:val="24"/>
          <w:szCs w:val="24"/>
        </w:rPr>
        <w:t xml:space="preserve"> </w:t>
      </w:r>
      <w:r w:rsidR="004F551F" w:rsidRPr="00A872A1">
        <w:rPr>
          <w:rFonts w:ascii="Times New Roman" w:hAnsi="Times New Roman"/>
          <w:sz w:val="24"/>
          <w:szCs w:val="24"/>
        </w:rPr>
        <w:t>e adolescentes</w:t>
      </w:r>
      <w:r w:rsidR="004F551F">
        <w:rPr>
          <w:rFonts w:ascii="Times New Roman" w:hAnsi="Times New Roman"/>
          <w:sz w:val="24"/>
          <w:szCs w:val="24"/>
        </w:rPr>
        <w:t>, devido à</w:t>
      </w:r>
      <w:r w:rsidR="00115308">
        <w:rPr>
          <w:rFonts w:ascii="Times New Roman" w:hAnsi="Times New Roman"/>
          <w:sz w:val="24"/>
          <w:szCs w:val="24"/>
        </w:rPr>
        <w:t xml:space="preserve"> facilidade de execução e ao baixo custo, sendo as medidas mais utilizadas o peso e a estatura e suas associações, como</w:t>
      </w:r>
      <w:r w:rsidR="0089165D">
        <w:rPr>
          <w:rFonts w:ascii="Times New Roman" w:hAnsi="Times New Roman"/>
          <w:sz w:val="24"/>
          <w:szCs w:val="24"/>
        </w:rPr>
        <w:t xml:space="preserve"> peso para idade</w:t>
      </w:r>
      <w:r w:rsidR="00115308">
        <w:rPr>
          <w:rFonts w:ascii="Times New Roman" w:hAnsi="Times New Roman"/>
          <w:sz w:val="24"/>
          <w:szCs w:val="24"/>
        </w:rPr>
        <w:t xml:space="preserve"> </w:t>
      </w:r>
      <w:r w:rsidR="0089165D">
        <w:rPr>
          <w:rFonts w:ascii="Times New Roman" w:hAnsi="Times New Roman"/>
          <w:sz w:val="24"/>
          <w:szCs w:val="24"/>
        </w:rPr>
        <w:t>(</w:t>
      </w:r>
      <w:r w:rsidR="00115308">
        <w:rPr>
          <w:rFonts w:ascii="Times New Roman" w:hAnsi="Times New Roman"/>
          <w:sz w:val="24"/>
          <w:szCs w:val="24"/>
        </w:rPr>
        <w:t>P/I</w:t>
      </w:r>
      <w:r w:rsidR="0089165D">
        <w:rPr>
          <w:rFonts w:ascii="Times New Roman" w:hAnsi="Times New Roman"/>
          <w:sz w:val="24"/>
          <w:szCs w:val="24"/>
        </w:rPr>
        <w:t>)</w:t>
      </w:r>
      <w:r w:rsidR="00115308">
        <w:rPr>
          <w:rFonts w:ascii="Times New Roman" w:hAnsi="Times New Roman"/>
          <w:sz w:val="24"/>
          <w:szCs w:val="24"/>
        </w:rPr>
        <w:t>,</w:t>
      </w:r>
      <w:r w:rsidR="0089165D">
        <w:rPr>
          <w:rFonts w:ascii="Times New Roman" w:hAnsi="Times New Roman"/>
          <w:sz w:val="24"/>
          <w:szCs w:val="24"/>
        </w:rPr>
        <w:t xml:space="preserve"> peso para a estatura</w:t>
      </w:r>
      <w:r w:rsidR="00115308">
        <w:rPr>
          <w:rFonts w:ascii="Times New Roman" w:hAnsi="Times New Roman"/>
          <w:sz w:val="24"/>
          <w:szCs w:val="24"/>
        </w:rPr>
        <w:t xml:space="preserve"> </w:t>
      </w:r>
      <w:r w:rsidR="0089165D">
        <w:rPr>
          <w:rFonts w:ascii="Times New Roman" w:hAnsi="Times New Roman"/>
          <w:sz w:val="24"/>
          <w:szCs w:val="24"/>
        </w:rPr>
        <w:t>(</w:t>
      </w:r>
      <w:r w:rsidR="00115308">
        <w:rPr>
          <w:rFonts w:ascii="Times New Roman" w:hAnsi="Times New Roman"/>
          <w:sz w:val="24"/>
          <w:szCs w:val="24"/>
        </w:rPr>
        <w:t>P/E</w:t>
      </w:r>
      <w:r w:rsidR="0089165D">
        <w:rPr>
          <w:rFonts w:ascii="Times New Roman" w:hAnsi="Times New Roman"/>
          <w:sz w:val="24"/>
          <w:szCs w:val="24"/>
        </w:rPr>
        <w:t>)</w:t>
      </w:r>
      <w:r w:rsidR="00115308">
        <w:rPr>
          <w:rFonts w:ascii="Times New Roman" w:hAnsi="Times New Roman"/>
          <w:sz w:val="24"/>
          <w:szCs w:val="24"/>
        </w:rPr>
        <w:t>,</w:t>
      </w:r>
      <w:r w:rsidR="0089165D">
        <w:rPr>
          <w:rFonts w:ascii="Times New Roman" w:hAnsi="Times New Roman"/>
          <w:sz w:val="24"/>
          <w:szCs w:val="24"/>
        </w:rPr>
        <w:t xml:space="preserve"> estatura para a idade</w:t>
      </w:r>
      <w:r w:rsidR="00115308">
        <w:rPr>
          <w:rFonts w:ascii="Times New Roman" w:hAnsi="Times New Roman"/>
          <w:sz w:val="24"/>
          <w:szCs w:val="24"/>
        </w:rPr>
        <w:t xml:space="preserve"> </w:t>
      </w:r>
      <w:r w:rsidR="0089165D">
        <w:rPr>
          <w:rFonts w:ascii="Times New Roman" w:hAnsi="Times New Roman"/>
          <w:sz w:val="24"/>
          <w:szCs w:val="24"/>
        </w:rPr>
        <w:t>(</w:t>
      </w:r>
      <w:r w:rsidR="00115308">
        <w:rPr>
          <w:rFonts w:ascii="Times New Roman" w:hAnsi="Times New Roman"/>
          <w:sz w:val="24"/>
          <w:szCs w:val="24"/>
        </w:rPr>
        <w:t>E/I</w:t>
      </w:r>
      <w:r w:rsidR="0089165D">
        <w:rPr>
          <w:rFonts w:ascii="Times New Roman" w:hAnsi="Times New Roman"/>
          <w:sz w:val="24"/>
          <w:szCs w:val="24"/>
        </w:rPr>
        <w:t>)</w:t>
      </w:r>
      <w:r w:rsidR="00115308">
        <w:rPr>
          <w:rFonts w:ascii="Times New Roman" w:hAnsi="Times New Roman"/>
          <w:sz w:val="24"/>
          <w:szCs w:val="24"/>
        </w:rPr>
        <w:t xml:space="preserve"> e</w:t>
      </w:r>
      <w:r w:rsidR="0089165D">
        <w:rPr>
          <w:rFonts w:ascii="Times New Roman" w:hAnsi="Times New Roman"/>
          <w:sz w:val="24"/>
          <w:szCs w:val="24"/>
        </w:rPr>
        <w:t xml:space="preserve"> índice de massa corporal para a idade</w:t>
      </w:r>
      <w:r w:rsidR="00115308">
        <w:rPr>
          <w:rFonts w:ascii="Times New Roman" w:hAnsi="Times New Roman"/>
          <w:sz w:val="24"/>
          <w:szCs w:val="24"/>
        </w:rPr>
        <w:t xml:space="preserve"> IMC/I (PAULA; CABRAL, 2014).</w:t>
      </w:r>
      <w:r w:rsidR="0089165D">
        <w:rPr>
          <w:rFonts w:ascii="Times New Roman" w:hAnsi="Times New Roman"/>
          <w:sz w:val="24"/>
          <w:szCs w:val="24"/>
        </w:rPr>
        <w:t xml:space="preserve"> Os índices usados</w:t>
      </w:r>
      <w:r>
        <w:rPr>
          <w:rFonts w:ascii="Times New Roman" w:hAnsi="Times New Roman"/>
          <w:sz w:val="24"/>
          <w:szCs w:val="24"/>
        </w:rPr>
        <w:t xml:space="preserve"> para a avaliação nutric</w:t>
      </w:r>
      <w:r w:rsidR="006871E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onal</w:t>
      </w:r>
      <w:r w:rsidR="0089165D">
        <w:rPr>
          <w:rFonts w:ascii="Times New Roman" w:hAnsi="Times New Roman"/>
          <w:sz w:val="24"/>
          <w:szCs w:val="24"/>
        </w:rPr>
        <w:t xml:space="preserve"> no estudo compreenderam o P/E e o IMC/I.</w:t>
      </w:r>
    </w:p>
    <w:p w:rsidR="0065531A" w:rsidRDefault="001153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índice P/E expressa a harmonia entre as</w:t>
      </w:r>
      <w:r w:rsidR="004F551F">
        <w:rPr>
          <w:rFonts w:ascii="Times New Roman" w:hAnsi="Times New Roman"/>
          <w:sz w:val="24"/>
          <w:szCs w:val="24"/>
        </w:rPr>
        <w:t xml:space="preserve"> dimensões de massa corporal</w:t>
      </w:r>
      <w:r w:rsidR="0089165D">
        <w:rPr>
          <w:rFonts w:ascii="Times New Roman" w:hAnsi="Times New Roman"/>
          <w:sz w:val="24"/>
          <w:szCs w:val="24"/>
        </w:rPr>
        <w:t xml:space="preserve"> atual</w:t>
      </w:r>
      <w:r w:rsidR="004F551F">
        <w:rPr>
          <w:rFonts w:ascii="Times New Roman" w:hAnsi="Times New Roman"/>
          <w:sz w:val="24"/>
          <w:szCs w:val="24"/>
        </w:rPr>
        <w:t xml:space="preserve"> e</w:t>
      </w:r>
      <w:r w:rsidR="0089165D">
        <w:rPr>
          <w:rFonts w:ascii="Times New Roman" w:hAnsi="Times New Roman"/>
          <w:sz w:val="24"/>
          <w:szCs w:val="24"/>
        </w:rPr>
        <w:t xml:space="preserve"> a</w:t>
      </w:r>
      <w:r w:rsidR="004F551F">
        <w:rPr>
          <w:rFonts w:ascii="Times New Roman" w:hAnsi="Times New Roman"/>
          <w:sz w:val="24"/>
          <w:szCs w:val="24"/>
        </w:rPr>
        <w:t xml:space="preserve"> </w:t>
      </w:r>
      <w:r w:rsidR="004F551F" w:rsidRPr="00A872A1">
        <w:rPr>
          <w:rFonts w:ascii="Times New Roman" w:hAnsi="Times New Roman"/>
          <w:sz w:val="24"/>
          <w:szCs w:val="24"/>
        </w:rPr>
        <w:t>estatura, sendo</w:t>
      </w:r>
      <w:r w:rsidR="004F5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utilizado para identificar tanto a perda quanto o ganho de peso excessivo da criança (SOCIEDADE BRASILEIRA DE PEDIATRIA, 2009).</w:t>
      </w:r>
      <w:r w:rsidR="0089165D">
        <w:rPr>
          <w:rFonts w:ascii="Times New Roman" w:hAnsi="Times New Roman"/>
          <w:sz w:val="24"/>
          <w:szCs w:val="24"/>
        </w:rPr>
        <w:t xml:space="preserve"> É considerado um bom detector de </w:t>
      </w:r>
      <w:r w:rsidR="00A872A1">
        <w:rPr>
          <w:rFonts w:ascii="Times New Roman" w:hAnsi="Times New Roman"/>
          <w:sz w:val="24"/>
          <w:szCs w:val="24"/>
        </w:rPr>
        <w:t>deficiências</w:t>
      </w:r>
      <w:r w:rsidR="009B1BDD">
        <w:rPr>
          <w:rFonts w:ascii="Times New Roman" w:hAnsi="Times New Roman"/>
          <w:sz w:val="24"/>
          <w:szCs w:val="24"/>
        </w:rPr>
        <w:t xml:space="preserve"> </w:t>
      </w:r>
      <w:r w:rsidR="00A872A1">
        <w:rPr>
          <w:rFonts w:ascii="Times New Roman" w:hAnsi="Times New Roman"/>
          <w:sz w:val="24"/>
          <w:szCs w:val="24"/>
        </w:rPr>
        <w:t>nutricionais em</w:t>
      </w:r>
      <w:r w:rsidR="0089165D">
        <w:rPr>
          <w:rFonts w:ascii="Times New Roman" w:hAnsi="Times New Roman"/>
          <w:sz w:val="24"/>
          <w:szCs w:val="24"/>
        </w:rPr>
        <w:t xml:space="preserve"> curto prazo (PIRES et al, 2013). </w:t>
      </w:r>
      <w:r>
        <w:rPr>
          <w:rFonts w:ascii="Times New Roman" w:hAnsi="Times New Roman"/>
          <w:sz w:val="24"/>
          <w:szCs w:val="24"/>
        </w:rPr>
        <w:t xml:space="preserve">Já o IMC/I expressa a relação entre o peso e o quadrado da estatura da criança e é um dos parâmetros mais utilizados para o diagnóstico individual e coletivo de distúrbios nutricionais, já que identifica a presença de baixo peso ou obesidade na infância e em outras fases da vida (SOCIEDADE BRASILEIRA DE PEDIATRIA, 2009). </w:t>
      </w:r>
    </w:p>
    <w:p w:rsidR="001B48E4" w:rsidRDefault="001153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Ao realizar a avaliação antropométrica do paciente oncológico pediátrico é necessário observar questões como o tipo de tumor, a corticoterapia</w:t>
      </w:r>
      <w:r w:rsidR="00764350">
        <w:rPr>
          <w:rFonts w:ascii="Times New Roman" w:hAnsi="Times New Roman"/>
          <w:sz w:val="24"/>
          <w:szCs w:val="24"/>
        </w:rPr>
        <w:t>, a hidrat</w:t>
      </w:r>
      <w:r w:rsidR="00656252">
        <w:rPr>
          <w:rFonts w:ascii="Times New Roman" w:hAnsi="Times New Roman"/>
          <w:sz w:val="24"/>
          <w:szCs w:val="24"/>
        </w:rPr>
        <w:t>a</w:t>
      </w:r>
      <w:r w:rsidR="00764350">
        <w:rPr>
          <w:rFonts w:ascii="Times New Roman" w:hAnsi="Times New Roman"/>
          <w:sz w:val="24"/>
          <w:szCs w:val="24"/>
        </w:rPr>
        <w:t>ção</w:t>
      </w:r>
      <w:r>
        <w:rPr>
          <w:rFonts w:ascii="Times New Roman" w:hAnsi="Times New Roman"/>
          <w:sz w:val="24"/>
          <w:szCs w:val="24"/>
        </w:rPr>
        <w:t xml:space="preserve"> e a presença de edema, pois estes fatores constituem uma importante informação para um diagnóstico nutricional mais preciso</w:t>
      </w:r>
      <w:r w:rsidR="001B48E4">
        <w:rPr>
          <w:rFonts w:ascii="Times New Roman" w:hAnsi="Times New Roman"/>
          <w:sz w:val="24"/>
          <w:szCs w:val="24"/>
        </w:rPr>
        <w:t xml:space="preserve"> (INSTITUTO NACIONAL DE CÂNCER JOSÉ ALENCAR GOMES DA SILVA, 2014)</w:t>
      </w:r>
      <w:r>
        <w:rPr>
          <w:rFonts w:ascii="Times New Roman" w:hAnsi="Times New Roman"/>
          <w:sz w:val="24"/>
          <w:szCs w:val="24"/>
        </w:rPr>
        <w:t>.</w:t>
      </w:r>
      <w:r w:rsidR="001B48E4" w:rsidRPr="001B48E4">
        <w:rPr>
          <w:rFonts w:ascii="Times New Roman" w:hAnsi="Times New Roman"/>
          <w:sz w:val="24"/>
          <w:szCs w:val="24"/>
        </w:rPr>
        <w:t xml:space="preserve"> </w:t>
      </w:r>
      <w:r w:rsidR="001B48E4">
        <w:rPr>
          <w:rFonts w:ascii="Times New Roman" w:hAnsi="Times New Roman"/>
          <w:sz w:val="24"/>
          <w:szCs w:val="24"/>
        </w:rPr>
        <w:t>Um dos pontos limitantes do estudo foi o fato de</w:t>
      </w:r>
      <w:r w:rsidR="000A58EF">
        <w:rPr>
          <w:rFonts w:ascii="Times New Roman" w:hAnsi="Times New Roman"/>
          <w:sz w:val="24"/>
          <w:szCs w:val="24"/>
        </w:rPr>
        <w:t xml:space="preserve"> </w:t>
      </w:r>
      <w:r w:rsidR="00DE780A">
        <w:rPr>
          <w:rFonts w:ascii="Times New Roman" w:hAnsi="Times New Roman"/>
          <w:sz w:val="24"/>
          <w:szCs w:val="24"/>
        </w:rPr>
        <w:t>os dados</w:t>
      </w:r>
      <w:r w:rsidR="000342EC">
        <w:rPr>
          <w:rFonts w:ascii="Times New Roman" w:hAnsi="Times New Roman"/>
          <w:sz w:val="24"/>
          <w:szCs w:val="24"/>
        </w:rPr>
        <w:t xml:space="preserve"> terem sido coletados </w:t>
      </w:r>
      <w:r w:rsidR="00DE780A">
        <w:rPr>
          <w:rFonts w:ascii="Times New Roman" w:hAnsi="Times New Roman"/>
          <w:sz w:val="24"/>
          <w:szCs w:val="24"/>
        </w:rPr>
        <w:t>de uma ficha preenchida por um examinador secundário</w:t>
      </w:r>
      <w:r w:rsidR="000342EC">
        <w:rPr>
          <w:rFonts w:ascii="Times New Roman" w:hAnsi="Times New Roman"/>
          <w:sz w:val="24"/>
          <w:szCs w:val="24"/>
        </w:rPr>
        <w:t>, uma vez que houve resistência por parte de alguns responsáveis em realizar novamente a antropometria.</w:t>
      </w:r>
    </w:p>
    <w:p w:rsidR="00A16275" w:rsidRDefault="001153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pacientes com tumores hematológicos</w:t>
      </w:r>
      <w:r w:rsidR="000A58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podem apresentar retenção hídrica, devido ao uso de drogas quimioterápicas e corticoides durante o tratamento, refletindo em aumento do peso corporal e superestimação</w:t>
      </w:r>
      <w:r w:rsidR="00BC79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estado nutricional (GARÓFOLO; LOPEZ; PETRILLI, 2001</w:t>
      </w:r>
      <w:r w:rsidR="0065625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 Além desses efeitos os corticoides</w:t>
      </w:r>
      <w:r w:rsidR="00BC79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também podem aumentar o apetite, levando ao ganho de tecido adiposo e à</w:t>
      </w:r>
      <w:r w:rsidR="00A162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perda da proteína muscular (GARÓFOLO; LOPEZ; PETRILLI, 2005). Desse modo, a obesidade tem se tornado uma das complicações mais associadas ao tratamento nesses pacientes</w:t>
      </w:r>
      <w:r w:rsidR="00BC79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(OLIVEIRA et al., 2013).</w:t>
      </w:r>
      <w:r w:rsidR="00BC7971">
        <w:rPr>
          <w:rFonts w:ascii="Times New Roman" w:hAnsi="Times New Roman"/>
          <w:sz w:val="24"/>
          <w:szCs w:val="24"/>
        </w:rPr>
        <w:t xml:space="preserve"> </w:t>
      </w:r>
    </w:p>
    <w:p w:rsidR="001B48E4" w:rsidRPr="003A0CB8" w:rsidRDefault="001B48E4" w:rsidP="001B48E4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10A">
        <w:rPr>
          <w:rFonts w:ascii="Times New Roman" w:hAnsi="Times New Roman"/>
          <w:sz w:val="24"/>
          <w:szCs w:val="24"/>
        </w:rPr>
        <w:t>O comprometimento do estado nutricional ocorre com maior frequência entre crianças com tumores sólidos em estágios avançados, principalmente</w:t>
      </w:r>
      <w:r w:rsidRPr="003A0CB8">
        <w:rPr>
          <w:rFonts w:ascii="Times New Roman" w:hAnsi="Times New Roman"/>
          <w:sz w:val="24"/>
          <w:szCs w:val="24"/>
        </w:rPr>
        <w:t xml:space="preserve"> por conta das maiores complicações de toxicidade oral e gastrintestinal decorrentes do tratamento mais agressivo (MELLO; BOTTARO, 2010). Além disso, os tumores sólidos também tendem a mascarar o peso corporal </w:t>
      </w:r>
      <w:r w:rsidR="00A96A8A">
        <w:rPr>
          <w:rFonts w:ascii="Times New Roman" w:hAnsi="Times New Roman"/>
          <w:sz w:val="24"/>
          <w:szCs w:val="24"/>
        </w:rPr>
        <w:t>do paciente</w:t>
      </w:r>
      <w:r>
        <w:rPr>
          <w:rFonts w:ascii="Times New Roman" w:hAnsi="Times New Roman"/>
          <w:sz w:val="24"/>
          <w:szCs w:val="24"/>
        </w:rPr>
        <w:t xml:space="preserve"> podendo representar até 10% do peso corporal</w:t>
      </w:r>
      <w:r w:rsidRPr="003A0CB8">
        <w:rPr>
          <w:rFonts w:ascii="Times New Roman" w:hAnsi="Times New Roman"/>
          <w:sz w:val="24"/>
          <w:szCs w:val="24"/>
        </w:rPr>
        <w:t>, portanto para uma avaliação nutricional mais precisa é necessária maior atenção em relação a essas alterações de peso que muitas vezes subestimam a presença de desnutrição entre estes pacientes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CB8">
        <w:rPr>
          <w:rFonts w:ascii="Times New Roman" w:hAnsi="Times New Roman"/>
          <w:sz w:val="24"/>
          <w:szCs w:val="24"/>
        </w:rPr>
        <w:t>(GARÓFOLO; LOPEZ; PETRILLI, 2001</w:t>
      </w:r>
      <w:r w:rsidR="00A96A8A">
        <w:rPr>
          <w:rFonts w:ascii="Times New Roman" w:hAnsi="Times New Roman"/>
          <w:sz w:val="24"/>
          <w:szCs w:val="24"/>
        </w:rPr>
        <w:t xml:space="preserve">; </w:t>
      </w:r>
      <w:r w:rsidR="00A96A8A">
        <w:rPr>
          <w:rFonts w:ascii="Times New Roman" w:hAnsi="Times New Roman"/>
          <w:sz w:val="24"/>
          <w:szCs w:val="24"/>
        </w:rPr>
        <w:lastRenderedPageBreak/>
        <w:t>INSTITUTO NACIONAL DE CÂNCER JOSÉ ALENCAR GOMES DA SILVA, 2014)</w:t>
      </w:r>
      <w:r w:rsidRPr="003A0CB8">
        <w:rPr>
          <w:rFonts w:ascii="Times New Roman" w:hAnsi="Times New Roman"/>
          <w:sz w:val="24"/>
          <w:szCs w:val="24"/>
        </w:rPr>
        <w:t>.</w:t>
      </w:r>
    </w:p>
    <w:p w:rsidR="00764350" w:rsidRDefault="001153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Segundo Molle, Rodrigues e Cruz (2011), devido às próprias características de tratamento dos tumores hematológicos,</w:t>
      </w:r>
      <w:r w:rsidR="000342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como o uso prolongado de corticoides e seus efeitos colaterais, quando avaliados somente pela antropometria</w:t>
      </w:r>
      <w:r w:rsidR="000342EC">
        <w:rPr>
          <w:rFonts w:ascii="Times New Roman" w:hAnsi="Times New Roman"/>
          <w:sz w:val="24"/>
          <w:szCs w:val="24"/>
        </w:rPr>
        <w:t xml:space="preserve"> convencional</w:t>
      </w:r>
      <w:r>
        <w:rPr>
          <w:rFonts w:ascii="Times New Roman" w:hAnsi="Times New Roman"/>
          <w:sz w:val="24"/>
          <w:szCs w:val="24"/>
        </w:rPr>
        <w:t xml:space="preserve"> (peso e altura) esses pacientes apresentam menor déficit nutricional quando comparados aos pacientes com tumores sólidos. </w:t>
      </w:r>
      <w:r w:rsidR="00764350">
        <w:rPr>
          <w:rFonts w:ascii="Times New Roman" w:hAnsi="Times New Roman"/>
          <w:sz w:val="24"/>
          <w:szCs w:val="24"/>
        </w:rPr>
        <w:t>Em relação ao estado nutricional, conforme a classificação gerada pelas curvas da WHO, a maioria dos pacientes com tumores hematológicos do estudo estavam eutróficos</w:t>
      </w:r>
      <w:r w:rsidR="000342EC">
        <w:rPr>
          <w:rFonts w:ascii="Times New Roman" w:hAnsi="Times New Roman"/>
          <w:sz w:val="24"/>
          <w:szCs w:val="24"/>
        </w:rPr>
        <w:t xml:space="preserve"> (50%)</w:t>
      </w:r>
      <w:r w:rsidR="00975396">
        <w:rPr>
          <w:rFonts w:ascii="Times New Roman" w:hAnsi="Times New Roman"/>
          <w:sz w:val="24"/>
          <w:szCs w:val="24"/>
        </w:rPr>
        <w:t>,</w:t>
      </w:r>
      <w:r w:rsidR="00764350">
        <w:rPr>
          <w:rFonts w:ascii="Times New Roman" w:hAnsi="Times New Roman"/>
          <w:sz w:val="24"/>
          <w:szCs w:val="24"/>
        </w:rPr>
        <w:t xml:space="preserve"> uma grande parcela com risco de sobrepeso </w:t>
      </w:r>
      <w:r w:rsidR="000342EC">
        <w:rPr>
          <w:rFonts w:ascii="Times New Roman" w:hAnsi="Times New Roman"/>
          <w:sz w:val="24"/>
          <w:szCs w:val="24"/>
        </w:rPr>
        <w:t xml:space="preserve">(30%) </w:t>
      </w:r>
      <w:r w:rsidR="00764350">
        <w:rPr>
          <w:rFonts w:ascii="Times New Roman" w:hAnsi="Times New Roman"/>
          <w:sz w:val="24"/>
          <w:szCs w:val="24"/>
        </w:rPr>
        <w:t>e obesidade</w:t>
      </w:r>
      <w:r w:rsidR="000342EC">
        <w:rPr>
          <w:rFonts w:ascii="Times New Roman" w:hAnsi="Times New Roman"/>
          <w:sz w:val="24"/>
          <w:szCs w:val="24"/>
        </w:rPr>
        <w:t xml:space="preserve"> (15%).</w:t>
      </w:r>
      <w:r w:rsidR="00815A5B">
        <w:rPr>
          <w:rFonts w:ascii="Times New Roman" w:hAnsi="Times New Roman"/>
          <w:sz w:val="24"/>
          <w:szCs w:val="24"/>
        </w:rPr>
        <w:t xml:space="preserve"> </w:t>
      </w:r>
      <w:r w:rsidR="00764350">
        <w:rPr>
          <w:rFonts w:ascii="Times New Roman" w:hAnsi="Times New Roman"/>
          <w:sz w:val="24"/>
          <w:szCs w:val="24"/>
        </w:rPr>
        <w:t xml:space="preserve">Quanto </w:t>
      </w:r>
      <w:r w:rsidR="00711EE4">
        <w:rPr>
          <w:rFonts w:ascii="Times New Roman" w:hAnsi="Times New Roman"/>
          <w:sz w:val="24"/>
          <w:szCs w:val="24"/>
        </w:rPr>
        <w:t>aos pacientes com tumores sólidos</w:t>
      </w:r>
      <w:r w:rsidR="00764350">
        <w:rPr>
          <w:rFonts w:ascii="Times New Roman" w:hAnsi="Times New Roman"/>
          <w:sz w:val="24"/>
          <w:szCs w:val="24"/>
        </w:rPr>
        <w:t>,</w:t>
      </w:r>
      <w:r w:rsidR="00711EE4">
        <w:rPr>
          <w:rFonts w:ascii="Times New Roman" w:hAnsi="Times New Roman"/>
          <w:sz w:val="24"/>
          <w:szCs w:val="24"/>
        </w:rPr>
        <w:t xml:space="preserve"> </w:t>
      </w:r>
      <w:r w:rsidR="00764350">
        <w:rPr>
          <w:rFonts w:ascii="Times New Roman" w:hAnsi="Times New Roman"/>
          <w:sz w:val="24"/>
          <w:szCs w:val="24"/>
        </w:rPr>
        <w:t>a maioria foi classificada como eutrófico</w:t>
      </w:r>
      <w:r w:rsidR="000342EC">
        <w:rPr>
          <w:rFonts w:ascii="Times New Roman" w:hAnsi="Times New Roman"/>
          <w:sz w:val="24"/>
          <w:szCs w:val="24"/>
        </w:rPr>
        <w:t xml:space="preserve"> (41,7%) e </w:t>
      </w:r>
      <w:r w:rsidR="009A0166">
        <w:rPr>
          <w:rFonts w:ascii="Times New Roman" w:hAnsi="Times New Roman"/>
          <w:sz w:val="24"/>
          <w:szCs w:val="24"/>
        </w:rPr>
        <w:t>sobrepeso (41,7%)</w:t>
      </w:r>
      <w:r w:rsidR="00815A5B">
        <w:rPr>
          <w:rFonts w:ascii="Times New Roman" w:hAnsi="Times New Roman"/>
          <w:sz w:val="24"/>
          <w:szCs w:val="24"/>
        </w:rPr>
        <w:t>.</w:t>
      </w:r>
      <w:r w:rsidR="00764350">
        <w:rPr>
          <w:rFonts w:ascii="Times New Roman" w:hAnsi="Times New Roman"/>
          <w:sz w:val="24"/>
          <w:szCs w:val="24"/>
        </w:rPr>
        <w:t xml:space="preserve"> Estes resultados não foram condizentes com os encontrados por Garófolo e col</w:t>
      </w:r>
      <w:r w:rsidR="00815A5B">
        <w:rPr>
          <w:rFonts w:ascii="Times New Roman" w:hAnsi="Times New Roman"/>
          <w:sz w:val="24"/>
          <w:szCs w:val="24"/>
        </w:rPr>
        <w:t>a</w:t>
      </w:r>
      <w:r w:rsidR="00764350">
        <w:rPr>
          <w:rFonts w:ascii="Times New Roman" w:hAnsi="Times New Roman"/>
          <w:sz w:val="24"/>
          <w:szCs w:val="24"/>
        </w:rPr>
        <w:t>boradores (2005) onde, através da antropometria convencional (peso e altura), uma alta taxa de desnutrição foi encontrada na população estudada</w:t>
      </w:r>
      <w:r w:rsidR="00975396">
        <w:rPr>
          <w:rFonts w:ascii="Times New Roman" w:hAnsi="Times New Roman"/>
          <w:sz w:val="24"/>
          <w:szCs w:val="24"/>
        </w:rPr>
        <w:t>. Essas diferenças podem estar relacionadas devido ao estudo dos autores utilizarem mais variáveis para detectar a desnutrição e contar com uma amostra maior.</w:t>
      </w:r>
    </w:p>
    <w:p w:rsidR="00975396" w:rsidRDefault="001153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Além </w:t>
      </w:r>
      <w:r w:rsidR="00975396">
        <w:rPr>
          <w:rFonts w:ascii="Times New Roman" w:hAnsi="Times New Roman"/>
          <w:sz w:val="24"/>
          <w:szCs w:val="24"/>
        </w:rPr>
        <w:t>das medidas de peso e altura</w:t>
      </w:r>
      <w:r>
        <w:rPr>
          <w:rFonts w:ascii="Times New Roman" w:hAnsi="Times New Roman"/>
          <w:sz w:val="24"/>
          <w:szCs w:val="24"/>
        </w:rPr>
        <w:t>, a medida da circunferência do braço (CB) também é muito importante para a avaliação e o diagnóstico nutricional, pois expressa a soma dos tecidos ósseo, muscular e adiposo que constituem a área do braço, e em associação com a prega cutânea triciptal (PCT), serve como base para cálculo da circunferência muscular do braço (CMB), uma fórmula muito importante para avaliar possíveis alterações na massa magra total do indivíduo</w:t>
      </w:r>
      <w:r w:rsidR="008806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(ACUÑA; CRUZ, 2004).</w:t>
      </w:r>
      <w:r w:rsidR="00975396">
        <w:rPr>
          <w:rFonts w:ascii="Times New Roman" w:hAnsi="Times New Roman"/>
          <w:sz w:val="24"/>
          <w:szCs w:val="24"/>
        </w:rPr>
        <w:t xml:space="preserve"> Outro ponto limitante do estudo foi o fato da ficha de avaliação padrão do hospital não fazer uso da PCT e da CMB para auxiliar no diagnóstico nutricional.</w:t>
      </w:r>
    </w:p>
    <w:p w:rsidR="0065531A" w:rsidRDefault="001153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Quando classificados através do percentual de adequação da CB foi observado um estado nutricional mais estratificado</w:t>
      </w:r>
      <w:r w:rsidR="00B113D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B113D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pesar da eutrofia ainda representar a maior parte </w:t>
      </w:r>
      <w:r w:rsidR="00B113D5">
        <w:rPr>
          <w:rFonts w:ascii="Times New Roman" w:hAnsi="Times New Roman"/>
          <w:sz w:val="24"/>
          <w:szCs w:val="24"/>
        </w:rPr>
        <w:t>dos pacientes com tumores hematológicos</w:t>
      </w:r>
      <w:r>
        <w:rPr>
          <w:rFonts w:ascii="Times New Roman" w:hAnsi="Times New Roman"/>
          <w:sz w:val="24"/>
          <w:szCs w:val="24"/>
        </w:rPr>
        <w:t xml:space="preserve">, a desnutrição leve e a obesidade foram </w:t>
      </w:r>
      <w:r w:rsidR="00B113D5">
        <w:rPr>
          <w:rFonts w:ascii="Times New Roman" w:hAnsi="Times New Roman"/>
          <w:sz w:val="24"/>
          <w:szCs w:val="24"/>
        </w:rPr>
        <w:t>fatores</w:t>
      </w:r>
      <w:r>
        <w:rPr>
          <w:rFonts w:ascii="Times New Roman" w:hAnsi="Times New Roman"/>
          <w:sz w:val="24"/>
          <w:szCs w:val="24"/>
        </w:rPr>
        <w:t xml:space="preserve"> importante</w:t>
      </w:r>
      <w:r w:rsidR="00B113D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 ser</w:t>
      </w:r>
      <w:r w:rsidR="00B113D5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considerado</w:t>
      </w:r>
      <w:r w:rsidR="00B113D5">
        <w:rPr>
          <w:rFonts w:ascii="Times New Roman" w:hAnsi="Times New Roman"/>
          <w:sz w:val="24"/>
          <w:szCs w:val="24"/>
        </w:rPr>
        <w:t>s</w:t>
      </w:r>
      <w:r w:rsidR="00A872A1">
        <w:rPr>
          <w:rFonts w:ascii="Times New Roman" w:hAnsi="Times New Roman"/>
          <w:sz w:val="24"/>
          <w:szCs w:val="24"/>
        </w:rPr>
        <w:t xml:space="preserve"> nesse tipo de paciente.</w:t>
      </w:r>
    </w:p>
    <w:p w:rsidR="0065531A" w:rsidRDefault="003B659B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Já nos pacientes com tumores sólidos </w:t>
      </w:r>
      <w:r w:rsidR="00115308">
        <w:rPr>
          <w:rFonts w:ascii="Times New Roman" w:hAnsi="Times New Roman"/>
          <w:sz w:val="24"/>
          <w:szCs w:val="24"/>
        </w:rPr>
        <w:t>a maioria apresentou algum grau importante de desnutrição</w:t>
      </w:r>
      <w:r>
        <w:rPr>
          <w:rFonts w:ascii="Times New Roman" w:hAnsi="Times New Roman"/>
          <w:sz w:val="24"/>
          <w:szCs w:val="24"/>
        </w:rPr>
        <w:t>, superando o percentual de eutrofia</w:t>
      </w:r>
      <w:r w:rsidR="00115308">
        <w:rPr>
          <w:rFonts w:ascii="Times New Roman" w:hAnsi="Times New Roman"/>
          <w:sz w:val="24"/>
          <w:szCs w:val="24"/>
        </w:rPr>
        <w:t>. Esse resultado foi semelhante ao encontrado por Garófolo, Lopez e Petrilli (2001) para o qual as medidas antropométricas (peso e altura) e de composição corporal (CB e CMB) também constataram que os pacientes com tumores sólidos apresentaram um grau de depleção muito importante.</w:t>
      </w:r>
    </w:p>
    <w:p w:rsidR="0065531A" w:rsidRDefault="001153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Analisando </w:t>
      </w:r>
      <w:r w:rsidR="008300D9">
        <w:rPr>
          <w:rFonts w:ascii="Times New Roman" w:hAnsi="Times New Roman"/>
          <w:sz w:val="24"/>
          <w:szCs w:val="24"/>
        </w:rPr>
        <w:t>os dois métodos de avaliação nutricional aplicados</w:t>
      </w:r>
      <w:r>
        <w:rPr>
          <w:rFonts w:ascii="Times New Roman" w:hAnsi="Times New Roman"/>
          <w:sz w:val="24"/>
          <w:szCs w:val="24"/>
        </w:rPr>
        <w:t>,</w:t>
      </w:r>
      <w:r w:rsidR="008300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neste estudo, o percentual de adequação da CB foi mais sensível em detectar casos de desnutrição nos pacientes mesmo a maioria estando classificada como eutrófica pela antropometria </w:t>
      </w:r>
      <w:r w:rsidR="00DA1367">
        <w:rPr>
          <w:rFonts w:ascii="Times New Roman" w:hAnsi="Times New Roman"/>
          <w:sz w:val="24"/>
          <w:szCs w:val="24"/>
        </w:rPr>
        <w:t>convencional (peso e estatura)</w:t>
      </w:r>
      <w:r>
        <w:rPr>
          <w:rFonts w:ascii="Times New Roman" w:hAnsi="Times New Roman"/>
          <w:sz w:val="24"/>
          <w:szCs w:val="24"/>
        </w:rPr>
        <w:t>. O mesmo foi observado no estudo realizado Caprara, Ricalde e Santos (2009), porém as medidas utilizadas para avaliação do estado nutricional foram a PCT e a CMB.</w:t>
      </w:r>
    </w:p>
    <w:p w:rsidR="0065531A" w:rsidRDefault="0065531A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531A" w:rsidRDefault="00115308" w:rsidP="004A0E0A">
      <w:pPr>
        <w:spacing w:after="0" w:line="48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F4E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CONCLUSÃO</w:t>
      </w:r>
    </w:p>
    <w:p w:rsidR="00E43AC8" w:rsidRDefault="00DF4D23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C14D37">
        <w:rPr>
          <w:rFonts w:ascii="Times New Roman" w:eastAsia="Calibri" w:hAnsi="Times New Roman"/>
          <w:sz w:val="24"/>
          <w:szCs w:val="24"/>
          <w:lang w:eastAsia="en-US"/>
        </w:rPr>
        <w:t xml:space="preserve"> eutrofia foi o estado nutricional mais freqüente na amostra estuda, porém</w:t>
      </w:r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C14D37">
        <w:rPr>
          <w:rFonts w:ascii="Times New Roman" w:eastAsia="Calibri" w:hAnsi="Times New Roman"/>
          <w:sz w:val="24"/>
          <w:szCs w:val="24"/>
          <w:lang w:eastAsia="en-US"/>
        </w:rPr>
        <w:t xml:space="preserve"> o </w:t>
      </w:r>
      <w:r w:rsidR="000A0487">
        <w:rPr>
          <w:rFonts w:ascii="Times New Roman" w:eastAsia="Calibri" w:hAnsi="Times New Roman"/>
          <w:sz w:val="24"/>
          <w:szCs w:val="24"/>
          <w:lang w:eastAsia="en-US"/>
        </w:rPr>
        <w:t xml:space="preserve">percentual de adequação da CB foi mais sensível </w:t>
      </w:r>
      <w:r w:rsidR="0041108E">
        <w:rPr>
          <w:rFonts w:ascii="Times New Roman" w:eastAsia="Calibri" w:hAnsi="Times New Roman"/>
          <w:sz w:val="24"/>
          <w:szCs w:val="24"/>
          <w:lang w:eastAsia="en-US"/>
        </w:rPr>
        <w:t>em detectar as variações do estado nutricional dos pacientes</w:t>
      </w:r>
      <w:r w:rsidR="00C14D37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115308">
        <w:rPr>
          <w:rFonts w:ascii="Times New Roman" w:hAnsi="Times New Roman"/>
          <w:sz w:val="24"/>
          <w:szCs w:val="24"/>
        </w:rPr>
        <w:t>Além dos dados antropométricos</w:t>
      </w:r>
      <w:r>
        <w:rPr>
          <w:rFonts w:ascii="Times New Roman" w:hAnsi="Times New Roman"/>
          <w:sz w:val="24"/>
          <w:szCs w:val="24"/>
        </w:rPr>
        <w:t>,</w:t>
      </w:r>
      <w:r w:rsidR="00E43AC8">
        <w:rPr>
          <w:rFonts w:ascii="Times New Roman" w:hAnsi="Times New Roman"/>
          <w:sz w:val="24"/>
          <w:szCs w:val="24"/>
        </w:rPr>
        <w:t xml:space="preserve"> fatores como: alimentação, efeitos colaterais do tratamento, exames bioquímicos, alterações de peso</w:t>
      </w:r>
      <w:r>
        <w:rPr>
          <w:rFonts w:ascii="Times New Roman" w:hAnsi="Times New Roman"/>
          <w:sz w:val="24"/>
          <w:szCs w:val="24"/>
        </w:rPr>
        <w:t>,</w:t>
      </w:r>
      <w:r w:rsidR="00E43AC8">
        <w:rPr>
          <w:rFonts w:ascii="Times New Roman" w:hAnsi="Times New Roman"/>
          <w:sz w:val="24"/>
          <w:szCs w:val="24"/>
        </w:rPr>
        <w:t xml:space="preserve"> causadas tanto pela massa tumoral quanto pelo edema também devem ser considerados para um diagnóstico nutricional mais preciso.</w:t>
      </w:r>
    </w:p>
    <w:p w:rsidR="0065531A" w:rsidRDefault="0011530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Mesmo</w:t>
      </w:r>
      <w:r w:rsidR="004E62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eutrofia sendo o diagnóstico nutricional mais prevalente no estudo, a presença de baixo peso entre estes pacientes deve servir de alerta para </w:t>
      </w:r>
      <w:r w:rsidR="00DF4D23">
        <w:rPr>
          <w:rFonts w:ascii="Times New Roman" w:hAnsi="Times New Roman"/>
          <w:sz w:val="24"/>
          <w:szCs w:val="24"/>
        </w:rPr>
        <w:t>a necessidade de</w:t>
      </w:r>
      <w:r w:rsidR="00DF4D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intervenção nutricional precoce e individualizada, a fim de se evitar a instalação de um quadro de desnutrição ou recuperar o estado nutricional do paciente, promovendo uma melhor resposta ao tratamento e uma boa qualidade de vida </w:t>
      </w:r>
      <w:r w:rsidR="00E43AC8">
        <w:rPr>
          <w:rFonts w:ascii="Times New Roman" w:hAnsi="Times New Roman"/>
          <w:sz w:val="24"/>
          <w:szCs w:val="24"/>
        </w:rPr>
        <w:t>para o paciente</w:t>
      </w:r>
      <w:r>
        <w:rPr>
          <w:rFonts w:ascii="Times New Roman" w:hAnsi="Times New Roman"/>
          <w:sz w:val="24"/>
          <w:szCs w:val="24"/>
        </w:rPr>
        <w:t>.</w:t>
      </w:r>
    </w:p>
    <w:p w:rsidR="0065531A" w:rsidRDefault="0011530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5531A" w:rsidRDefault="00115308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Nutrition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en-US"/>
        </w:rPr>
        <w:t>al assessment profile of hospitalized patients in oncology pediatric of Santa Casa de Misericordia Hospital, Belo Horizonte – MG</w:t>
      </w:r>
    </w:p>
    <w:p w:rsidR="0065531A" w:rsidRDefault="0065531A">
      <w:pPr>
        <w:spacing w:after="0" w:line="480" w:lineRule="auto"/>
        <w:jc w:val="both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</w:p>
    <w:p w:rsidR="0065531A" w:rsidRDefault="00115308" w:rsidP="004A0E0A">
      <w:pPr>
        <w:spacing w:after="0" w:line="480" w:lineRule="auto"/>
        <w:jc w:val="both"/>
        <w:outlineLvl w:val="0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en-US" w:eastAsia="en-US"/>
        </w:rPr>
        <w:t>ABSTRACT</w:t>
      </w:r>
    </w:p>
    <w:p w:rsidR="0065531A" w:rsidRDefault="00115308">
      <w:pPr>
        <w:spacing w:after="0" w:line="480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>The child cancer is defined as any cancer affecting individuals up to 19 years of age. Signs of malnutrition in children</w:t>
      </w:r>
      <w:r w:rsidR="007247C9">
        <w:rPr>
          <w:rFonts w:ascii="Times New Roman" w:eastAsia="Calibri" w:hAnsi="Times New Roman"/>
          <w:sz w:val="24"/>
          <w:szCs w:val="24"/>
          <w:lang w:val="en-US" w:eastAsia="en-US"/>
        </w:rPr>
        <w:t xml:space="preserve"> and </w:t>
      </w:r>
      <w:r w:rsidR="00E77D8C">
        <w:rPr>
          <w:rFonts w:ascii="Times New Roman" w:eastAsia="Calibri" w:hAnsi="Times New Roman"/>
          <w:sz w:val="24"/>
          <w:szCs w:val="24"/>
          <w:lang w:val="en-US" w:eastAsia="en-US"/>
        </w:rPr>
        <w:t>adolescents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 xml:space="preserve"> with cancer are common and the effects of aggressive treatment further increase the chances of nutritional </w:t>
      </w:r>
      <w:r w:rsidR="00E77D8C">
        <w:rPr>
          <w:rFonts w:ascii="Times New Roman" w:eastAsia="Calibri" w:hAnsi="Times New Roman"/>
          <w:sz w:val="24"/>
          <w:szCs w:val="24"/>
          <w:lang w:val="en-US" w:eastAsia="en-US"/>
        </w:rPr>
        <w:t>deficits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 xml:space="preserve">. The objective of this study was to evaluate the nutritional status of patients admitted to the pediatric oncology at Hospital Santa Casa de Belo Horizonte Mercy - MG. The study is descriptive, prospective and exploratory. The sample included 32 patients of both sexes under 19 admitted in the period January-March 2015. Data collection was done through medical records and anthropometric data in the system "ÀgeisNutrition - DeNutri". </w:t>
      </w:r>
      <w:r w:rsidR="00E77D8C">
        <w:rPr>
          <w:rFonts w:ascii="Times New Roman" w:eastAsia="Calibri" w:hAnsi="Times New Roman"/>
          <w:sz w:val="24"/>
          <w:szCs w:val="24"/>
          <w:lang w:val="en-US" w:eastAsia="en-US"/>
        </w:rPr>
        <w:t xml:space="preserve">Most of the patients were male and the most frequent type of cancer was leukemia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. According to the classification curves generated by the WHO, 50%</w:t>
      </w:r>
      <w:r w:rsidR="00E77D8C">
        <w:rPr>
          <w:rFonts w:ascii="Times New Roman" w:eastAsia="Calibri" w:hAnsi="Times New Roman"/>
          <w:sz w:val="24"/>
          <w:szCs w:val="24"/>
          <w:lang w:val="en-US" w:eastAsia="en-US"/>
        </w:rPr>
        <w:t xml:space="preserve"> (n=10)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 xml:space="preserve"> of patients with hematological malignancies and 41</w:t>
      </w:r>
      <w:r w:rsidR="00E77D8C">
        <w:rPr>
          <w:rFonts w:ascii="Times New Roman" w:eastAsia="Calibri" w:hAnsi="Times New Roman"/>
          <w:sz w:val="24"/>
          <w:szCs w:val="24"/>
          <w:lang w:val="en-US" w:eastAsia="en-US"/>
        </w:rPr>
        <w:t>,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7%</w:t>
      </w:r>
      <w:r w:rsidR="00E77D8C">
        <w:rPr>
          <w:rFonts w:ascii="Times New Roman" w:eastAsia="Calibri" w:hAnsi="Times New Roman"/>
          <w:sz w:val="24"/>
          <w:szCs w:val="24"/>
          <w:lang w:val="en-US" w:eastAsia="en-US"/>
        </w:rPr>
        <w:t xml:space="preserve"> (n=5)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 xml:space="preserve"> of patients with solid tumors had become eutrophic. Already the adequacy percentage of CB showed that even being classified as eutrophic by anthropometry, these patients had some degree of malnutrition. </w:t>
      </w:r>
      <w:r w:rsidR="00E77D8C">
        <w:rPr>
          <w:rFonts w:ascii="Times New Roman" w:eastAsia="Calibri" w:hAnsi="Times New Roman"/>
          <w:sz w:val="24"/>
          <w:szCs w:val="24"/>
          <w:lang w:val="en-US" w:eastAsia="en-US"/>
        </w:rPr>
        <w:t xml:space="preserve">The eutrophic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 xml:space="preserve">was the most </w:t>
      </w:r>
      <w:r w:rsidR="00E77D8C">
        <w:rPr>
          <w:rFonts w:ascii="Times New Roman" w:eastAsia="Calibri" w:hAnsi="Times New Roman"/>
          <w:sz w:val="24"/>
          <w:szCs w:val="24"/>
          <w:lang w:val="en-US" w:eastAsia="en-US"/>
        </w:rPr>
        <w:t xml:space="preserve">frequency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 xml:space="preserve">nutritional diagnosis, but the presence of underweight among these patients should alert serve for an early and individualized nutritional intervention to correct nutritional deficits and avoid complications to the </w:t>
      </w:r>
      <w:r w:rsidR="00E77D8C">
        <w:rPr>
          <w:rFonts w:ascii="Times New Roman" w:eastAsia="Calibri" w:hAnsi="Times New Roman"/>
          <w:sz w:val="24"/>
          <w:szCs w:val="24"/>
          <w:lang w:val="en-US" w:eastAsia="en-US"/>
        </w:rPr>
        <w:t xml:space="preserve">patients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clinical condition.</w:t>
      </w:r>
    </w:p>
    <w:p w:rsidR="0065531A" w:rsidRDefault="00115308">
      <w:pPr>
        <w:spacing w:after="0" w:line="48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 xml:space="preserve">Keywords:Malnutrition. Nutritional status. Neoplasia. </w:t>
      </w:r>
      <w:r>
        <w:rPr>
          <w:rFonts w:ascii="Times New Roman" w:eastAsia="Calibri" w:hAnsi="Times New Roman"/>
          <w:sz w:val="24"/>
          <w:szCs w:val="24"/>
          <w:lang w:eastAsia="en-US"/>
        </w:rPr>
        <w:t>Oncology</w:t>
      </w:r>
    </w:p>
    <w:p w:rsidR="0065531A" w:rsidRDefault="0065531A">
      <w:pPr>
        <w:spacing w:after="0" w:line="48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77D8C" w:rsidRDefault="00E77D8C" w:rsidP="004A0E0A">
      <w:pPr>
        <w:spacing w:after="0" w:line="480" w:lineRule="auto"/>
        <w:outlineLvl w:val="0"/>
        <w:rPr>
          <w:rFonts w:ascii="Times New Roman" w:hAnsi="Times New Roman"/>
          <w:b/>
          <w:caps/>
          <w:sz w:val="24"/>
          <w:szCs w:val="24"/>
        </w:rPr>
      </w:pPr>
    </w:p>
    <w:p w:rsidR="0065531A" w:rsidRDefault="00115308" w:rsidP="004A0E0A">
      <w:pPr>
        <w:spacing w:after="0" w:line="480" w:lineRule="auto"/>
        <w:outlineLvl w:val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 xml:space="preserve">referências </w:t>
      </w:r>
    </w:p>
    <w:p w:rsidR="0065531A" w:rsidRDefault="0011530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ACUNÃ, K; CRUZ, T. Avaliação do estado nutricional de adultos e idosos e situação nutricional da população brasileira. </w:t>
      </w:r>
      <w:r>
        <w:rPr>
          <w:rFonts w:ascii="Times New Roman" w:hAnsi="Times New Roman"/>
          <w:b/>
          <w:sz w:val="24"/>
          <w:szCs w:val="24"/>
        </w:rPr>
        <w:t>Arquivos Brasileiros de Endocrinologia &amp; Metabologia</w:t>
      </w:r>
      <w:r>
        <w:rPr>
          <w:rFonts w:ascii="Times New Roman" w:hAnsi="Times New Roman"/>
          <w:sz w:val="24"/>
          <w:szCs w:val="24"/>
        </w:rPr>
        <w:t xml:space="preserve">, São </w:t>
      </w:r>
      <w:r w:rsidRPr="00C1766D">
        <w:rPr>
          <w:rFonts w:ascii="Times New Roman" w:hAnsi="Times New Roman"/>
          <w:sz w:val="24"/>
          <w:szCs w:val="24"/>
        </w:rPr>
        <w:t>Paulo, v.48, n.3,</w:t>
      </w:r>
      <w:r w:rsidR="00C1766D" w:rsidRPr="00C1766D">
        <w:rPr>
          <w:rFonts w:ascii="Times New Roman" w:hAnsi="Times New Roman"/>
          <w:sz w:val="24"/>
          <w:szCs w:val="24"/>
        </w:rPr>
        <w:t xml:space="preserve"> </w:t>
      </w:r>
      <w:r w:rsidR="001B0A62" w:rsidRPr="00880637">
        <w:rPr>
          <w:rFonts w:ascii="Times New Roman" w:hAnsi="Times New Roman"/>
          <w:color w:val="000000"/>
          <w:sz w:val="24"/>
          <w:szCs w:val="24"/>
        </w:rPr>
        <w:t>p. 345-361,</w:t>
      </w:r>
      <w:r w:rsidRPr="00C1766D">
        <w:rPr>
          <w:rFonts w:ascii="Times New Roman" w:hAnsi="Times New Roman"/>
          <w:sz w:val="24"/>
          <w:szCs w:val="24"/>
        </w:rPr>
        <w:t xml:space="preserve"> junho</w:t>
      </w:r>
      <w:r w:rsidR="00C1766D" w:rsidRPr="00C1766D">
        <w:rPr>
          <w:rFonts w:ascii="Times New Roman" w:hAnsi="Times New Roman"/>
          <w:sz w:val="24"/>
          <w:szCs w:val="24"/>
        </w:rPr>
        <w:t>.</w:t>
      </w:r>
      <w:r w:rsidRPr="00C1766D">
        <w:rPr>
          <w:rFonts w:ascii="Times New Roman" w:hAnsi="Times New Roman"/>
          <w:sz w:val="24"/>
          <w:szCs w:val="24"/>
        </w:rPr>
        <w:t xml:space="preserve"> 2004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5531A" w:rsidRDefault="0011530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BELTRAO, M. R. L. R. et al. </w:t>
      </w:r>
      <w:r>
        <w:rPr>
          <w:rFonts w:ascii="Times New Roman" w:hAnsi="Times New Roman"/>
          <w:sz w:val="24"/>
          <w:szCs w:val="24"/>
          <w:shd w:val="clear" w:color="auto" w:fill="FFFFFF"/>
        </w:rPr>
        <w:t>Câncer infantil: percepções maternas e estratégias de enfrentamento frente ao diagnóstico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Jornal de Pediatria (Rio de Janeiro)</w:t>
      </w:r>
      <w:r>
        <w:rPr>
          <w:rFonts w:ascii="Times New Roman" w:hAnsi="Times New Roman"/>
          <w:sz w:val="24"/>
          <w:szCs w:val="24"/>
        </w:rPr>
        <w:t xml:space="preserve">, Porto Alegre, v. 83, n. 6, p. 562-566, dez. 2007. </w:t>
      </w:r>
    </w:p>
    <w:p w:rsidR="0065531A" w:rsidRPr="00F70E2B" w:rsidRDefault="0011530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BLACKBURN, G. L; THORNTON, P. A. Nutritional assessment of the hospitalized patients. </w:t>
      </w:r>
      <w:r w:rsidR="00A1471E" w:rsidRPr="00A1471E">
        <w:rPr>
          <w:rFonts w:ascii="Times New Roman" w:hAnsi="Times New Roman"/>
          <w:b/>
          <w:sz w:val="24"/>
          <w:szCs w:val="24"/>
        </w:rPr>
        <w:t>Medical Clinics of North America</w:t>
      </w:r>
      <w:r w:rsidR="00A1471E" w:rsidRPr="00A1471E">
        <w:rPr>
          <w:rFonts w:ascii="Times New Roman" w:hAnsi="Times New Roman"/>
          <w:sz w:val="24"/>
          <w:szCs w:val="24"/>
        </w:rPr>
        <w:t>, 63: 1103-1115, 1979.</w:t>
      </w:r>
    </w:p>
    <w:p w:rsidR="00F861F9" w:rsidRPr="0038577A" w:rsidRDefault="009A36F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63475">
        <w:rPr>
          <w:rFonts w:ascii="Times New Roman" w:hAnsi="Times New Roman"/>
          <w:sz w:val="24"/>
          <w:szCs w:val="24"/>
        </w:rPr>
        <w:t xml:space="preserve">BRASIL. CONSELHO NACIONAL DE SAÚDE. </w:t>
      </w:r>
      <w:r w:rsidRPr="00E5057A">
        <w:rPr>
          <w:rFonts w:ascii="Times New Roman" w:hAnsi="Times New Roman"/>
          <w:b/>
          <w:sz w:val="24"/>
          <w:szCs w:val="24"/>
        </w:rPr>
        <w:t>Resolução nº 466, de 12 de dezembro de 2012</w:t>
      </w:r>
      <w:r w:rsidRPr="00D63475">
        <w:rPr>
          <w:rFonts w:ascii="Times New Roman" w:hAnsi="Times New Roman"/>
          <w:sz w:val="24"/>
          <w:szCs w:val="24"/>
        </w:rPr>
        <w:t>. Disponível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3475">
        <w:rPr>
          <w:rFonts w:ascii="Times New Roman" w:hAnsi="Times New Roman"/>
          <w:sz w:val="24"/>
          <w:szCs w:val="24"/>
        </w:rPr>
        <w:t>em:&lt;http://conselho.saude.gov.br/resolucoes/2012/Reso466.pdf&gt;. Acesso em 31 abr. 2014.</w:t>
      </w:r>
    </w:p>
    <w:p w:rsidR="0065531A" w:rsidRDefault="0011530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BOUZAS, L. F.; CALAZANS, M. Tumores sólidos e hematológicos na infância e na adolescência - Parte I. </w:t>
      </w:r>
      <w:r>
        <w:rPr>
          <w:rFonts w:ascii="Times New Roman" w:hAnsi="Times New Roman"/>
          <w:b/>
          <w:sz w:val="24"/>
          <w:szCs w:val="24"/>
        </w:rPr>
        <w:t>Adolescência &amp; Saúde</w:t>
      </w:r>
      <w:r>
        <w:rPr>
          <w:rFonts w:ascii="Times New Roman" w:hAnsi="Times New Roman"/>
          <w:sz w:val="24"/>
          <w:szCs w:val="24"/>
        </w:rPr>
        <w:t>,</w:t>
      </w:r>
      <w:r w:rsidR="003B3908">
        <w:rPr>
          <w:rFonts w:ascii="Times New Roman" w:hAnsi="Times New Roman"/>
          <w:sz w:val="24"/>
          <w:szCs w:val="24"/>
        </w:rPr>
        <w:t xml:space="preserve"> Rio de Janeiro,</w:t>
      </w:r>
      <w:r>
        <w:rPr>
          <w:rFonts w:ascii="Times New Roman" w:hAnsi="Times New Roman"/>
          <w:sz w:val="24"/>
          <w:szCs w:val="24"/>
        </w:rPr>
        <w:t xml:space="preserve"> v. 4, n.1, p. 40-44, jan./mar. 2007. </w:t>
      </w:r>
    </w:p>
    <w:p w:rsidR="0065531A" w:rsidRDefault="0011530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CAPRARA, G. L.; RICALDE, S. R.; SANTOS, J. S. DOS. Características nutricionais dos pacientes oncológicos pediátricos do Hospital Geral de Caxias do Sul. </w:t>
      </w:r>
      <w:r>
        <w:rPr>
          <w:rFonts w:ascii="Times New Roman" w:hAnsi="Times New Roman"/>
          <w:b/>
          <w:sz w:val="24"/>
          <w:szCs w:val="24"/>
        </w:rPr>
        <w:t>Pediatria</w:t>
      </w:r>
      <w:r w:rsidR="003B3908">
        <w:rPr>
          <w:rFonts w:ascii="Times New Roman" w:hAnsi="Times New Roman"/>
          <w:b/>
          <w:sz w:val="24"/>
          <w:szCs w:val="24"/>
        </w:rPr>
        <w:t>,</w:t>
      </w:r>
      <w:r w:rsidR="00880637">
        <w:rPr>
          <w:rFonts w:ascii="Times New Roman" w:hAnsi="Times New Roman"/>
          <w:b/>
          <w:sz w:val="24"/>
          <w:szCs w:val="24"/>
        </w:rPr>
        <w:t xml:space="preserve"> </w:t>
      </w:r>
      <w:r w:rsidRPr="00E5057A">
        <w:rPr>
          <w:rFonts w:ascii="Times New Roman" w:hAnsi="Times New Roman"/>
          <w:sz w:val="24"/>
          <w:szCs w:val="24"/>
        </w:rPr>
        <w:t>São Paulo</w:t>
      </w:r>
      <w:r>
        <w:rPr>
          <w:rFonts w:ascii="Times New Roman" w:hAnsi="Times New Roman"/>
          <w:sz w:val="24"/>
          <w:szCs w:val="24"/>
        </w:rPr>
        <w:t xml:space="preserve">, v. 31, n. 4, p. 234-241, out./dez. 2009. </w:t>
      </w:r>
    </w:p>
    <w:p w:rsidR="0065531A" w:rsidRDefault="0011530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CARAM, A. N. A. et al. Desnutrição em crianças até 12 anos com leucemia atendidas no grupo em defesa de criança com câncer no município de Jundiaí, SP. </w:t>
      </w:r>
      <w:r>
        <w:rPr>
          <w:rFonts w:ascii="Times New Roman" w:hAnsi="Times New Roman"/>
          <w:b/>
          <w:sz w:val="24"/>
          <w:szCs w:val="24"/>
        </w:rPr>
        <w:t>Revista Brasileira de Cancerologia</w:t>
      </w:r>
      <w:r>
        <w:rPr>
          <w:rFonts w:ascii="Times New Roman" w:hAnsi="Times New Roman"/>
          <w:sz w:val="24"/>
          <w:szCs w:val="24"/>
        </w:rPr>
        <w:t>,</w:t>
      </w:r>
      <w:r w:rsidR="003B3908">
        <w:rPr>
          <w:rFonts w:ascii="Times New Roman" w:hAnsi="Times New Roman"/>
          <w:sz w:val="24"/>
          <w:szCs w:val="24"/>
        </w:rPr>
        <w:t xml:space="preserve"> Rio de Janeiro,</w:t>
      </w:r>
      <w:r>
        <w:rPr>
          <w:rFonts w:ascii="Times New Roman" w:hAnsi="Times New Roman"/>
          <w:sz w:val="24"/>
          <w:szCs w:val="24"/>
        </w:rPr>
        <w:t xml:space="preserve"> v.58, n.2, p. 231-239, abr./jun. 2012. </w:t>
      </w:r>
    </w:p>
    <w:p w:rsidR="0065531A" w:rsidRDefault="0011530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ELMAN, I.; SILVA, M. E. M. P. Crianças portadoras de leucemia linfoide aguda: análise dos limiares de detecção dos gostos básicos. </w:t>
      </w:r>
      <w:r>
        <w:rPr>
          <w:rFonts w:ascii="Times New Roman" w:hAnsi="Times New Roman"/>
          <w:b/>
          <w:sz w:val="24"/>
          <w:szCs w:val="24"/>
        </w:rPr>
        <w:t>Revista Brasileira de Cancerologia</w:t>
      </w:r>
      <w:r>
        <w:rPr>
          <w:rFonts w:ascii="Times New Roman" w:hAnsi="Times New Roman"/>
          <w:sz w:val="24"/>
          <w:szCs w:val="24"/>
        </w:rPr>
        <w:t>,</w:t>
      </w:r>
      <w:r w:rsidR="003B3908">
        <w:rPr>
          <w:rFonts w:ascii="Times New Roman" w:hAnsi="Times New Roman"/>
          <w:sz w:val="24"/>
          <w:szCs w:val="24"/>
        </w:rPr>
        <w:t xml:space="preserve"> Rio de Janeiro,</w:t>
      </w:r>
      <w:r>
        <w:rPr>
          <w:rFonts w:ascii="Times New Roman" w:hAnsi="Times New Roman"/>
          <w:sz w:val="24"/>
          <w:szCs w:val="24"/>
        </w:rPr>
        <w:t xml:space="preserve"> v.53, n.3, p. 297-303, 2007. </w:t>
      </w:r>
    </w:p>
    <w:p w:rsidR="0065531A" w:rsidRDefault="00A1471E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A1471E">
        <w:rPr>
          <w:rFonts w:ascii="Times New Roman" w:hAnsi="Times New Roman"/>
          <w:sz w:val="24"/>
          <w:szCs w:val="24"/>
          <w:lang w:val="en-US"/>
        </w:rPr>
        <w:t xml:space="preserve">FRISANCHO, A. R. </w:t>
      </w:r>
      <w:r w:rsidRPr="00A1471E">
        <w:rPr>
          <w:rFonts w:ascii="Times New Roman" w:hAnsi="Times New Roman"/>
          <w:b/>
          <w:sz w:val="24"/>
          <w:szCs w:val="24"/>
          <w:lang w:val="en-US"/>
        </w:rPr>
        <w:t>Antropometric standarts for the assessment of growth and nutritional status</w:t>
      </w:r>
      <w:r w:rsidRPr="00A1471E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15308">
        <w:rPr>
          <w:rFonts w:ascii="Times New Roman" w:hAnsi="Times New Roman"/>
          <w:sz w:val="24"/>
          <w:szCs w:val="24"/>
        </w:rPr>
        <w:t>Universidade de Michigan, 1990. 189 p.</w:t>
      </w:r>
    </w:p>
    <w:p w:rsidR="0065531A" w:rsidRDefault="0011530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GARÓFOLO, A. Diretrizes para terapia nutricional em crianças com câncer em situação crítica. </w:t>
      </w:r>
      <w:r>
        <w:rPr>
          <w:rFonts w:ascii="Times New Roman" w:hAnsi="Times New Roman"/>
          <w:b/>
          <w:sz w:val="24"/>
          <w:szCs w:val="24"/>
        </w:rPr>
        <w:t>Revista de Nutrição</w:t>
      </w:r>
      <w:r>
        <w:rPr>
          <w:rFonts w:ascii="Times New Roman" w:hAnsi="Times New Roman"/>
          <w:sz w:val="24"/>
          <w:szCs w:val="24"/>
        </w:rPr>
        <w:t xml:space="preserve">, Campinas, v.18, n. 4, p. 513-527, jul./ago. 2005. </w:t>
      </w:r>
    </w:p>
    <w:p w:rsidR="0065531A" w:rsidRPr="00880637" w:rsidRDefault="0011530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GARÓFOLO, A. et al. Prevalência de desnutrição em crianças com tumores sólidos.</w:t>
      </w:r>
      <w:r w:rsidR="001B0A62" w:rsidRPr="00880637">
        <w:rPr>
          <w:rFonts w:ascii="Times New Roman" w:hAnsi="Times New Roman"/>
          <w:b/>
          <w:sz w:val="24"/>
          <w:szCs w:val="24"/>
        </w:rPr>
        <w:t>Revista de Nutrição</w:t>
      </w:r>
      <w:r w:rsidR="001B0A62" w:rsidRPr="00880637">
        <w:rPr>
          <w:rFonts w:ascii="Times New Roman" w:hAnsi="Times New Roman"/>
          <w:sz w:val="24"/>
          <w:szCs w:val="24"/>
        </w:rPr>
        <w:t xml:space="preserve">, Campinas, v. 18, n. 2, p. 193-200, mar./abr. 2005. </w:t>
      </w:r>
    </w:p>
    <w:p w:rsidR="0065531A" w:rsidRPr="00880637" w:rsidRDefault="00115308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GARÓFOLO, A.; LOPEZ, F. A.; PETRILLI, A. S. High prevalence of malnutrition among patients with solid non-hematological tumors as found by using skinfold and circumference measurements.</w:t>
      </w:r>
      <w:r w:rsidR="001B0A62" w:rsidRPr="00880637">
        <w:rPr>
          <w:rFonts w:ascii="Times New Roman" w:hAnsi="Times New Roman"/>
          <w:b/>
          <w:sz w:val="24"/>
          <w:szCs w:val="24"/>
          <w:lang w:val="en-US"/>
        </w:rPr>
        <w:t>São Paulo Medical Journal</w:t>
      </w:r>
      <w:r w:rsidR="001B0A62" w:rsidRPr="00880637">
        <w:rPr>
          <w:rFonts w:ascii="Times New Roman" w:hAnsi="Times New Roman"/>
          <w:sz w:val="24"/>
          <w:szCs w:val="24"/>
          <w:lang w:val="en-US"/>
        </w:rPr>
        <w:t>, São Paulo, v. 123, n. 6, p. 277-281, dez. 2005.</w:t>
      </w:r>
    </w:p>
    <w:p w:rsidR="0065531A" w:rsidRDefault="0011530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GARÓFOLO, A.; LOPEZ, F. A.; PETRILLI, A. S. Terapia nutricional em oncologia pediátrica. </w:t>
      </w:r>
      <w:r>
        <w:rPr>
          <w:rFonts w:ascii="Times New Roman" w:hAnsi="Times New Roman"/>
          <w:b/>
          <w:sz w:val="24"/>
          <w:szCs w:val="24"/>
        </w:rPr>
        <w:t>Pediatria Moderna</w:t>
      </w:r>
      <w:r>
        <w:rPr>
          <w:rFonts w:ascii="Times New Roman" w:hAnsi="Times New Roman"/>
          <w:sz w:val="24"/>
          <w:szCs w:val="24"/>
        </w:rPr>
        <w:t xml:space="preserve">, São Paulo, v.37, n.9, set. 2001. </w:t>
      </w:r>
    </w:p>
    <w:p w:rsidR="0065531A" w:rsidRDefault="0011530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INSTITUTO NACIONAL DE CÂNCER JOSÉ ALENCAR GOMES DA SILVA (Brasil). </w:t>
      </w:r>
      <w:r>
        <w:rPr>
          <w:rFonts w:ascii="Times New Roman" w:hAnsi="Times New Roman"/>
          <w:b/>
          <w:sz w:val="24"/>
          <w:szCs w:val="24"/>
        </w:rPr>
        <w:t>Consenso nacional de nutrição oncológica</w:t>
      </w:r>
      <w:r>
        <w:rPr>
          <w:rFonts w:ascii="Times New Roman" w:hAnsi="Times New Roman"/>
          <w:sz w:val="24"/>
          <w:szCs w:val="24"/>
        </w:rPr>
        <w:t>: paciente pediátrico oncológico. Rio de Janeiro: 2014. 88 p. Disponível em:&lt;http://www1.inca.gov.br/inca/Arquivos/comunicacao/Consenso_de_Nutricao_Oncologica_Pediatria_PDF_final.pdf&gt;. Acesso em: 13 mar. 2015.</w:t>
      </w:r>
    </w:p>
    <w:p w:rsidR="001C366C" w:rsidRDefault="001C366C" w:rsidP="001C366C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INSTITUTO NACIONAL DE CÂNCER JOSÉ ALENCAR GOMES DA SILVA (Brasil). </w:t>
      </w:r>
      <w:r>
        <w:rPr>
          <w:rFonts w:ascii="Times New Roman" w:hAnsi="Times New Roman"/>
          <w:b/>
          <w:sz w:val="24"/>
          <w:szCs w:val="24"/>
        </w:rPr>
        <w:t xml:space="preserve">Estimativa 2016: </w:t>
      </w:r>
      <w:r w:rsidRPr="00D63475">
        <w:rPr>
          <w:rFonts w:ascii="Times New Roman" w:hAnsi="Times New Roman"/>
          <w:sz w:val="24"/>
          <w:szCs w:val="24"/>
        </w:rPr>
        <w:t>incidência de câncer no Brasil</w:t>
      </w:r>
      <w:r>
        <w:rPr>
          <w:rFonts w:ascii="Times New Roman" w:hAnsi="Times New Roman"/>
          <w:sz w:val="24"/>
          <w:szCs w:val="24"/>
        </w:rPr>
        <w:t xml:space="preserve">. Rio de Janeiro: INCA, 2015. 122 p. Disponível em:&lt; </w:t>
      </w:r>
      <w:r w:rsidR="00DA3DB2" w:rsidRPr="00DA3DB2">
        <w:rPr>
          <w:rFonts w:ascii="Times New Roman" w:hAnsi="Times New Roman"/>
          <w:sz w:val="24"/>
          <w:szCs w:val="24"/>
        </w:rPr>
        <w:lastRenderedPageBreak/>
        <w:t>http://www.inca.gov.br/bvscontrolecancer/publicacoes/edicao/Estimativa_2016.pdf</w:t>
      </w:r>
      <w:r w:rsidR="00DA3DB2" w:rsidRPr="00DA3DB2" w:rsidDel="00DA3D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&gt;. Acesso em: 13 mar. 2016.</w:t>
      </w:r>
    </w:p>
    <w:p w:rsidR="0065531A" w:rsidRDefault="0011530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MELLO, M. P. B.; BOTTARO, S. M. Assistência nutricional na terapia da criança com câncer. </w:t>
      </w:r>
      <w:r>
        <w:rPr>
          <w:rFonts w:ascii="Times New Roman" w:hAnsi="Times New Roman"/>
          <w:b/>
          <w:sz w:val="24"/>
          <w:szCs w:val="24"/>
        </w:rPr>
        <w:t>Revista Contexto &amp; Saúde</w:t>
      </w:r>
      <w:r>
        <w:rPr>
          <w:rFonts w:ascii="Times New Roman" w:hAnsi="Times New Roman"/>
          <w:sz w:val="24"/>
          <w:szCs w:val="24"/>
        </w:rPr>
        <w:t>,</w:t>
      </w:r>
      <w:r w:rsidR="00DA3DB2">
        <w:rPr>
          <w:rFonts w:ascii="Times New Roman" w:hAnsi="Times New Roman"/>
          <w:sz w:val="24"/>
          <w:szCs w:val="24"/>
        </w:rPr>
        <w:t xml:space="preserve"> Rio Grande do Sul,</w:t>
      </w:r>
      <w:r>
        <w:rPr>
          <w:rFonts w:ascii="Times New Roman" w:hAnsi="Times New Roman"/>
          <w:sz w:val="24"/>
          <w:szCs w:val="24"/>
        </w:rPr>
        <w:t xml:space="preserve"> v. 10, n. 19, p. 9-16, jul./dez. 2010.</w:t>
      </w:r>
    </w:p>
    <w:p w:rsidR="0065531A" w:rsidRDefault="0011530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MOLLE, R. D.; RODRIGUES, L.; CRUZ, L. B. DA. Estado nutricional de crianças e adolescentes com neoplasias malignas durante o primeiro ano após o diagnóstico. </w:t>
      </w:r>
      <w:r>
        <w:rPr>
          <w:rFonts w:ascii="Times New Roman" w:hAnsi="Times New Roman"/>
          <w:b/>
          <w:sz w:val="24"/>
          <w:szCs w:val="24"/>
        </w:rPr>
        <w:t>Revista HCPA</w:t>
      </w:r>
      <w:r>
        <w:rPr>
          <w:rFonts w:ascii="Times New Roman" w:hAnsi="Times New Roman"/>
          <w:sz w:val="24"/>
          <w:szCs w:val="24"/>
        </w:rPr>
        <w:t xml:space="preserve">, </w:t>
      </w:r>
      <w:r w:rsidR="00DA3DB2">
        <w:rPr>
          <w:rFonts w:ascii="Times New Roman" w:hAnsi="Times New Roman"/>
          <w:sz w:val="24"/>
          <w:szCs w:val="24"/>
        </w:rPr>
        <w:t xml:space="preserve">Porto Alegre, </w:t>
      </w:r>
      <w:r>
        <w:rPr>
          <w:rFonts w:ascii="Times New Roman" w:hAnsi="Times New Roman"/>
          <w:sz w:val="24"/>
          <w:szCs w:val="24"/>
        </w:rPr>
        <w:t xml:space="preserve">v. 31, n.1, p. 18-24, 2011. </w:t>
      </w:r>
    </w:p>
    <w:p w:rsidR="0065531A" w:rsidRDefault="0011530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MUTTI, C. F.; PAULA, C.C. DE; SOUTO, M. D. </w:t>
      </w:r>
      <w:r>
        <w:rPr>
          <w:rStyle w:val="A13"/>
          <w:rFonts w:ascii="Times New Roman" w:hAnsi="Times New Roman" w:cs="Times New Roman"/>
          <w:color w:val="auto"/>
          <w:sz w:val="24"/>
          <w:szCs w:val="24"/>
        </w:rPr>
        <w:t xml:space="preserve">Assistência à saúde da criança com câncer na produção científica brasileira. </w:t>
      </w:r>
      <w:r>
        <w:rPr>
          <w:rFonts w:ascii="Times New Roman" w:hAnsi="Times New Roman"/>
          <w:b/>
          <w:sz w:val="24"/>
          <w:szCs w:val="24"/>
        </w:rPr>
        <w:t>Revista Brasileira de Cancerologia</w:t>
      </w:r>
      <w:r>
        <w:rPr>
          <w:rFonts w:ascii="Times New Roman" w:hAnsi="Times New Roman"/>
          <w:sz w:val="24"/>
          <w:szCs w:val="24"/>
        </w:rPr>
        <w:t>,</w:t>
      </w:r>
      <w:r w:rsidR="00DA3DB2">
        <w:rPr>
          <w:rFonts w:ascii="Times New Roman" w:hAnsi="Times New Roman"/>
          <w:sz w:val="24"/>
          <w:szCs w:val="24"/>
        </w:rPr>
        <w:t xml:space="preserve"> Rio de Janeiro,</w:t>
      </w:r>
      <w:r>
        <w:rPr>
          <w:rFonts w:ascii="Times New Roman" w:hAnsi="Times New Roman"/>
          <w:sz w:val="24"/>
          <w:szCs w:val="24"/>
        </w:rPr>
        <w:t xml:space="preserve"> v. 56, n. 1, p. 71-83, 2010.</w:t>
      </w:r>
    </w:p>
    <w:p w:rsidR="0065531A" w:rsidRDefault="0011530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OLIVEIRA, B.A. et al . Estado nutricional de crianças e adolescentes sobreviventes de leucemia linfoide aguda tratados em um Centro de Referência da Região Nordeste do Brasil.</w:t>
      </w:r>
      <w:r w:rsidR="00DA3D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Revista de Nutrição</w:t>
      </w:r>
      <w:r>
        <w:rPr>
          <w:rFonts w:ascii="Times New Roman" w:hAnsi="Times New Roman"/>
          <w:sz w:val="24"/>
          <w:szCs w:val="24"/>
        </w:rPr>
        <w:t xml:space="preserve">, Campinas, v. 26, n. 3, p. 271-281, jun. 2013. </w:t>
      </w:r>
    </w:p>
    <w:p w:rsidR="0065531A" w:rsidRDefault="0011530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PAULA, N. S. DE; CABRAL, B. E. M. Análise comparativa de referências para a classificação do estado nutricional de crianças e adolescentes em tratamento oncológico. </w:t>
      </w:r>
      <w:r>
        <w:rPr>
          <w:rFonts w:ascii="Times New Roman" w:hAnsi="Times New Roman"/>
          <w:b/>
          <w:sz w:val="24"/>
          <w:szCs w:val="24"/>
        </w:rPr>
        <w:t>Revista científica da FAMINAS,</w:t>
      </w:r>
      <w:r>
        <w:rPr>
          <w:rFonts w:ascii="Times New Roman" w:hAnsi="Times New Roman"/>
          <w:sz w:val="24"/>
          <w:szCs w:val="24"/>
        </w:rPr>
        <w:t xml:space="preserve"> Muriaé/BH-MG, v.10, n. 3, p. 11-21, set./dez. 2014. </w:t>
      </w:r>
    </w:p>
    <w:p w:rsidR="00E5057A" w:rsidRDefault="00E5057A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PIRES, L. V. et al. Alimentação nos primeiros anos de vida. In: </w:t>
      </w:r>
      <w:r w:rsidRPr="00E5057A">
        <w:rPr>
          <w:rFonts w:ascii="Times New Roman" w:hAnsi="Times New Roman"/>
          <w:b/>
          <w:sz w:val="24"/>
          <w:szCs w:val="24"/>
        </w:rPr>
        <w:t>Bases bioquímicas e fisiológicas da nutrição</w:t>
      </w:r>
      <w:r>
        <w:rPr>
          <w:rFonts w:ascii="Times New Roman" w:hAnsi="Times New Roman"/>
          <w:sz w:val="24"/>
          <w:szCs w:val="24"/>
        </w:rPr>
        <w:t>: nas diferentes fases da vida, na saúde e na doença. Barueri, SP: Manole, 2013. p 644-679.</w:t>
      </w:r>
    </w:p>
    <w:p w:rsidR="0065531A" w:rsidRDefault="0011530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SILVA, M. P. N. DA. Síndrome da anorexia-caquexia em portadores de câncer</w:t>
      </w:r>
      <w:r>
        <w:rPr>
          <w:rFonts w:ascii="Times New Roman" w:hAnsi="Times New Roman"/>
          <w:b/>
          <w:sz w:val="24"/>
          <w:szCs w:val="24"/>
        </w:rPr>
        <w:t>. Revista Brasileira de Cancerologia</w:t>
      </w:r>
      <w:r>
        <w:rPr>
          <w:rFonts w:ascii="Times New Roman" w:hAnsi="Times New Roman"/>
          <w:sz w:val="24"/>
          <w:szCs w:val="24"/>
        </w:rPr>
        <w:t>,</w:t>
      </w:r>
      <w:r w:rsidR="00DA3DB2">
        <w:rPr>
          <w:rFonts w:ascii="Times New Roman" w:hAnsi="Times New Roman"/>
          <w:sz w:val="24"/>
          <w:szCs w:val="24"/>
        </w:rPr>
        <w:t xml:space="preserve"> Rio de J</w:t>
      </w:r>
      <w:r w:rsidR="00880637">
        <w:rPr>
          <w:rFonts w:ascii="Times New Roman" w:hAnsi="Times New Roman"/>
          <w:sz w:val="24"/>
          <w:szCs w:val="24"/>
        </w:rPr>
        <w:t>a</w:t>
      </w:r>
      <w:r w:rsidR="00DA3DB2">
        <w:rPr>
          <w:rFonts w:ascii="Times New Roman" w:hAnsi="Times New Roman"/>
          <w:sz w:val="24"/>
          <w:szCs w:val="24"/>
        </w:rPr>
        <w:t>neiro,</w:t>
      </w:r>
      <w:r>
        <w:rPr>
          <w:rFonts w:ascii="Times New Roman" w:hAnsi="Times New Roman"/>
          <w:sz w:val="24"/>
          <w:szCs w:val="24"/>
        </w:rPr>
        <w:t xml:space="preserve"> v. 52, n. 1, p.59-77, 2006. </w:t>
      </w:r>
    </w:p>
    <w:p w:rsidR="0065531A" w:rsidRDefault="00115308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SOCIEDADE BRASILEIRA DE PEDIATRIA. </w:t>
      </w:r>
      <w:r>
        <w:rPr>
          <w:rFonts w:ascii="Times New Roman" w:hAnsi="Times New Roman"/>
          <w:b/>
          <w:sz w:val="24"/>
          <w:szCs w:val="24"/>
        </w:rPr>
        <w:t xml:space="preserve">Avaliação nutricional da criança e do adolescente: </w:t>
      </w:r>
      <w:r>
        <w:rPr>
          <w:rFonts w:ascii="Times New Roman" w:hAnsi="Times New Roman"/>
          <w:sz w:val="24"/>
          <w:szCs w:val="24"/>
        </w:rPr>
        <w:t xml:space="preserve">manual de orientação. Departamento de Nutrologia. São Paulo: 2009. 112 </w:t>
      </w:r>
      <w:r>
        <w:rPr>
          <w:rFonts w:ascii="Times New Roman" w:hAnsi="Times New Roman"/>
          <w:sz w:val="24"/>
          <w:szCs w:val="24"/>
        </w:rPr>
        <w:lastRenderedPageBreak/>
        <w:t xml:space="preserve">p. Disponível em: &lt;http://www.sbp.com.br/pdfs/MANUAL-AVAL-NUTR2009.pdf&gt;. </w:t>
      </w:r>
      <w:r>
        <w:rPr>
          <w:rFonts w:ascii="Times New Roman" w:hAnsi="Times New Roman"/>
          <w:sz w:val="24"/>
          <w:szCs w:val="24"/>
          <w:lang w:val="en-US"/>
        </w:rPr>
        <w:t>Acesso em: 3 jun. 2015.</w:t>
      </w:r>
    </w:p>
    <w:p w:rsidR="0065531A" w:rsidRDefault="0011530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WHO. WORLD HEALTH ORGANIZATION. </w:t>
      </w:r>
      <w:r>
        <w:rPr>
          <w:rFonts w:ascii="Times New Roman" w:hAnsi="Times New Roman"/>
          <w:b/>
          <w:sz w:val="24"/>
          <w:szCs w:val="24"/>
          <w:lang w:val="en-US"/>
        </w:rPr>
        <w:t>Growth reference data for 5-19 years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Geneva: 2007. Disponível em:&lt;http://www.who.int/growthref/en/&gt;. Acesso em: 15 abr. 2015.</w:t>
      </w:r>
    </w:p>
    <w:p w:rsidR="0065531A" w:rsidRDefault="0011530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WHO. WORLD HEALTH ORGANIZATION. Who child growth standards: length/height-for-age,weight-for-age, weight-for-length, weight-for-height and body mass index-for-age. Methods and development.</w:t>
      </w:r>
      <w:r>
        <w:rPr>
          <w:rFonts w:ascii="Times New Roman" w:hAnsi="Times New Roman"/>
          <w:b/>
          <w:sz w:val="24"/>
          <w:szCs w:val="24"/>
          <w:lang w:val="en-US"/>
        </w:rPr>
        <w:t>WHO (nonserial publication)</w:t>
      </w:r>
      <w:r>
        <w:rPr>
          <w:rFonts w:ascii="Times New Roman" w:hAnsi="Times New Roman"/>
          <w:sz w:val="24"/>
          <w:szCs w:val="24"/>
          <w:lang w:val="en-US"/>
        </w:rPr>
        <w:t xml:space="preserve">. Geneva, Switzerland: 2006.312 p. Disponível em: &lt;http://www.who.int/childgrowth/standards/technical_report/en/&gt;. </w:t>
      </w:r>
      <w:r>
        <w:rPr>
          <w:rFonts w:ascii="Times New Roman" w:hAnsi="Times New Roman"/>
          <w:sz w:val="24"/>
          <w:szCs w:val="24"/>
        </w:rPr>
        <w:t>Acessoem: 15 abr. 2015.</w:t>
      </w:r>
    </w:p>
    <w:sectPr w:rsidR="0065531A" w:rsidSect="0065531A">
      <w:pgSz w:w="11906" w:h="16838" w:code="9"/>
      <w:pgMar w:top="1701" w:right="1701" w:bottom="170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EB7" w:rsidRDefault="00741EB7">
      <w:pPr>
        <w:spacing w:after="0" w:line="240" w:lineRule="auto"/>
      </w:pPr>
      <w:r>
        <w:separator/>
      </w:r>
    </w:p>
  </w:endnote>
  <w:endnote w:type="continuationSeparator" w:id="0">
    <w:p w:rsidR="00741EB7" w:rsidRDefault="0074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BT">
    <w:altName w:val="Bodoni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keley Oldstyle">
    <w:altName w:val="Berkeley Old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EB7" w:rsidRDefault="00741EB7">
      <w:pPr>
        <w:spacing w:after="0" w:line="240" w:lineRule="auto"/>
      </w:pPr>
      <w:r>
        <w:separator/>
      </w:r>
    </w:p>
  </w:footnote>
  <w:footnote w:type="continuationSeparator" w:id="0">
    <w:p w:rsidR="00741EB7" w:rsidRDefault="00741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49"/>
    <w:rsid w:val="00001E40"/>
    <w:rsid w:val="00004673"/>
    <w:rsid w:val="000061D8"/>
    <w:rsid w:val="000100D2"/>
    <w:rsid w:val="00012ECD"/>
    <w:rsid w:val="0001770C"/>
    <w:rsid w:val="000223E6"/>
    <w:rsid w:val="00022C20"/>
    <w:rsid w:val="000342EC"/>
    <w:rsid w:val="00037CA5"/>
    <w:rsid w:val="00052394"/>
    <w:rsid w:val="000577FB"/>
    <w:rsid w:val="000578FA"/>
    <w:rsid w:val="00067AF2"/>
    <w:rsid w:val="0009565A"/>
    <w:rsid w:val="000A0487"/>
    <w:rsid w:val="000A4671"/>
    <w:rsid w:val="000A58EF"/>
    <w:rsid w:val="000B1444"/>
    <w:rsid w:val="000B1B7C"/>
    <w:rsid w:val="000B245D"/>
    <w:rsid w:val="000B6A96"/>
    <w:rsid w:val="000C49E8"/>
    <w:rsid w:val="000C4BF5"/>
    <w:rsid w:val="000C6411"/>
    <w:rsid w:val="000C7358"/>
    <w:rsid w:val="000C7710"/>
    <w:rsid w:val="000D138C"/>
    <w:rsid w:val="000D30CB"/>
    <w:rsid w:val="000E1AB5"/>
    <w:rsid w:val="000F0CA5"/>
    <w:rsid w:val="000F355E"/>
    <w:rsid w:val="00115308"/>
    <w:rsid w:val="0012271D"/>
    <w:rsid w:val="00122E27"/>
    <w:rsid w:val="00123704"/>
    <w:rsid w:val="00123C6D"/>
    <w:rsid w:val="001271D4"/>
    <w:rsid w:val="001338F4"/>
    <w:rsid w:val="00142CD2"/>
    <w:rsid w:val="0014691C"/>
    <w:rsid w:val="00147CB8"/>
    <w:rsid w:val="0015557E"/>
    <w:rsid w:val="00163794"/>
    <w:rsid w:val="00165ACE"/>
    <w:rsid w:val="00171F25"/>
    <w:rsid w:val="00172F79"/>
    <w:rsid w:val="00173619"/>
    <w:rsid w:val="001763A2"/>
    <w:rsid w:val="001850B6"/>
    <w:rsid w:val="00196919"/>
    <w:rsid w:val="001A3148"/>
    <w:rsid w:val="001B0A62"/>
    <w:rsid w:val="001B1C6B"/>
    <w:rsid w:val="001B3776"/>
    <w:rsid w:val="001B48E4"/>
    <w:rsid w:val="001B53BC"/>
    <w:rsid w:val="001B5646"/>
    <w:rsid w:val="001B6D71"/>
    <w:rsid w:val="001B7854"/>
    <w:rsid w:val="001C356D"/>
    <w:rsid w:val="001C366C"/>
    <w:rsid w:val="001C43BD"/>
    <w:rsid w:val="001C6232"/>
    <w:rsid w:val="001D0D83"/>
    <w:rsid w:val="001D1442"/>
    <w:rsid w:val="001D23ED"/>
    <w:rsid w:val="001D3806"/>
    <w:rsid w:val="001D6681"/>
    <w:rsid w:val="001F63EA"/>
    <w:rsid w:val="001F7C83"/>
    <w:rsid w:val="001F7F35"/>
    <w:rsid w:val="00205EB3"/>
    <w:rsid w:val="00224F9A"/>
    <w:rsid w:val="00225FD5"/>
    <w:rsid w:val="00227DF9"/>
    <w:rsid w:val="00231A3B"/>
    <w:rsid w:val="00233F13"/>
    <w:rsid w:val="002412D9"/>
    <w:rsid w:val="00241F59"/>
    <w:rsid w:val="00251E76"/>
    <w:rsid w:val="00252364"/>
    <w:rsid w:val="002570B5"/>
    <w:rsid w:val="00260C80"/>
    <w:rsid w:val="00261271"/>
    <w:rsid w:val="00262651"/>
    <w:rsid w:val="002640CC"/>
    <w:rsid w:val="00284AA1"/>
    <w:rsid w:val="0029358C"/>
    <w:rsid w:val="002A36C2"/>
    <w:rsid w:val="002A58DC"/>
    <w:rsid w:val="002B4F21"/>
    <w:rsid w:val="002C212A"/>
    <w:rsid w:val="002C21CB"/>
    <w:rsid w:val="002C33FC"/>
    <w:rsid w:val="002D06DD"/>
    <w:rsid w:val="002D10DA"/>
    <w:rsid w:val="002D1E87"/>
    <w:rsid w:val="002E3DAF"/>
    <w:rsid w:val="002E445D"/>
    <w:rsid w:val="002E4619"/>
    <w:rsid w:val="002E6A73"/>
    <w:rsid w:val="002E7408"/>
    <w:rsid w:val="002F184E"/>
    <w:rsid w:val="002F2605"/>
    <w:rsid w:val="00300CC1"/>
    <w:rsid w:val="003023A7"/>
    <w:rsid w:val="0030388A"/>
    <w:rsid w:val="003047FC"/>
    <w:rsid w:val="00305B15"/>
    <w:rsid w:val="0030715A"/>
    <w:rsid w:val="00310A9E"/>
    <w:rsid w:val="003161A9"/>
    <w:rsid w:val="00325F36"/>
    <w:rsid w:val="003276FD"/>
    <w:rsid w:val="00327A32"/>
    <w:rsid w:val="003303F2"/>
    <w:rsid w:val="00332E5B"/>
    <w:rsid w:val="00335740"/>
    <w:rsid w:val="003371CF"/>
    <w:rsid w:val="003446AE"/>
    <w:rsid w:val="00347D66"/>
    <w:rsid w:val="0035693C"/>
    <w:rsid w:val="0036347A"/>
    <w:rsid w:val="00363C56"/>
    <w:rsid w:val="003666F3"/>
    <w:rsid w:val="00372C65"/>
    <w:rsid w:val="00373669"/>
    <w:rsid w:val="00373AF1"/>
    <w:rsid w:val="003830FE"/>
    <w:rsid w:val="0038577A"/>
    <w:rsid w:val="00391BF7"/>
    <w:rsid w:val="003964AA"/>
    <w:rsid w:val="003978E9"/>
    <w:rsid w:val="003A0910"/>
    <w:rsid w:val="003A0CB8"/>
    <w:rsid w:val="003A134F"/>
    <w:rsid w:val="003A1489"/>
    <w:rsid w:val="003A65C9"/>
    <w:rsid w:val="003B3908"/>
    <w:rsid w:val="003B659B"/>
    <w:rsid w:val="003C2B57"/>
    <w:rsid w:val="003C448A"/>
    <w:rsid w:val="003C573A"/>
    <w:rsid w:val="003C739C"/>
    <w:rsid w:val="003D2507"/>
    <w:rsid w:val="003D7EE7"/>
    <w:rsid w:val="003E328F"/>
    <w:rsid w:val="003E4763"/>
    <w:rsid w:val="003E658D"/>
    <w:rsid w:val="003E66A2"/>
    <w:rsid w:val="003F02A7"/>
    <w:rsid w:val="003F1C7E"/>
    <w:rsid w:val="003F2D42"/>
    <w:rsid w:val="003F4337"/>
    <w:rsid w:val="003F4458"/>
    <w:rsid w:val="003F5705"/>
    <w:rsid w:val="004005F2"/>
    <w:rsid w:val="0041108E"/>
    <w:rsid w:val="00412F40"/>
    <w:rsid w:val="00422EDC"/>
    <w:rsid w:val="004238D4"/>
    <w:rsid w:val="00425142"/>
    <w:rsid w:val="00425A7D"/>
    <w:rsid w:val="004264B8"/>
    <w:rsid w:val="00435F01"/>
    <w:rsid w:val="00441C5D"/>
    <w:rsid w:val="0044317C"/>
    <w:rsid w:val="00445149"/>
    <w:rsid w:val="00446688"/>
    <w:rsid w:val="004472BF"/>
    <w:rsid w:val="004478FC"/>
    <w:rsid w:val="00460C74"/>
    <w:rsid w:val="00467659"/>
    <w:rsid w:val="00470A59"/>
    <w:rsid w:val="00474D82"/>
    <w:rsid w:val="004826AB"/>
    <w:rsid w:val="004849F7"/>
    <w:rsid w:val="00486152"/>
    <w:rsid w:val="0048653B"/>
    <w:rsid w:val="00486B48"/>
    <w:rsid w:val="004A0650"/>
    <w:rsid w:val="004A0E0A"/>
    <w:rsid w:val="004A5198"/>
    <w:rsid w:val="004A63C1"/>
    <w:rsid w:val="004B038B"/>
    <w:rsid w:val="004B7FA4"/>
    <w:rsid w:val="004C0CDA"/>
    <w:rsid w:val="004D3216"/>
    <w:rsid w:val="004E0812"/>
    <w:rsid w:val="004E3FC3"/>
    <w:rsid w:val="004E4EA2"/>
    <w:rsid w:val="004E62A6"/>
    <w:rsid w:val="004E6667"/>
    <w:rsid w:val="004E7344"/>
    <w:rsid w:val="004F52D8"/>
    <w:rsid w:val="004F551F"/>
    <w:rsid w:val="00504376"/>
    <w:rsid w:val="005043EF"/>
    <w:rsid w:val="00505FE2"/>
    <w:rsid w:val="00507E29"/>
    <w:rsid w:val="005110E3"/>
    <w:rsid w:val="00516184"/>
    <w:rsid w:val="00520CCA"/>
    <w:rsid w:val="00522EB0"/>
    <w:rsid w:val="00525B7C"/>
    <w:rsid w:val="00526263"/>
    <w:rsid w:val="00526417"/>
    <w:rsid w:val="00537DD5"/>
    <w:rsid w:val="00541FF3"/>
    <w:rsid w:val="00542BD1"/>
    <w:rsid w:val="0054474E"/>
    <w:rsid w:val="005506E6"/>
    <w:rsid w:val="00551404"/>
    <w:rsid w:val="005515D2"/>
    <w:rsid w:val="00551F5F"/>
    <w:rsid w:val="00552EA4"/>
    <w:rsid w:val="00554471"/>
    <w:rsid w:val="005604F4"/>
    <w:rsid w:val="005666E8"/>
    <w:rsid w:val="00570B56"/>
    <w:rsid w:val="00580AB8"/>
    <w:rsid w:val="00581984"/>
    <w:rsid w:val="0059432A"/>
    <w:rsid w:val="005A1927"/>
    <w:rsid w:val="005A1EE4"/>
    <w:rsid w:val="005A6156"/>
    <w:rsid w:val="005B7BFA"/>
    <w:rsid w:val="005C09FB"/>
    <w:rsid w:val="005C0A60"/>
    <w:rsid w:val="005C365D"/>
    <w:rsid w:val="005C5341"/>
    <w:rsid w:val="005C6E69"/>
    <w:rsid w:val="005D251D"/>
    <w:rsid w:val="005D362E"/>
    <w:rsid w:val="005D58DA"/>
    <w:rsid w:val="005D614A"/>
    <w:rsid w:val="005D7A2C"/>
    <w:rsid w:val="005E1992"/>
    <w:rsid w:val="005E24E8"/>
    <w:rsid w:val="005E4331"/>
    <w:rsid w:val="005E5405"/>
    <w:rsid w:val="005E60D5"/>
    <w:rsid w:val="005E622F"/>
    <w:rsid w:val="005F13CD"/>
    <w:rsid w:val="005F4502"/>
    <w:rsid w:val="00600A01"/>
    <w:rsid w:val="00601FF9"/>
    <w:rsid w:val="006020F9"/>
    <w:rsid w:val="00607FBD"/>
    <w:rsid w:val="00612E22"/>
    <w:rsid w:val="00614A2A"/>
    <w:rsid w:val="00616324"/>
    <w:rsid w:val="006179DD"/>
    <w:rsid w:val="00617F96"/>
    <w:rsid w:val="00622DA4"/>
    <w:rsid w:val="006271A5"/>
    <w:rsid w:val="00640D77"/>
    <w:rsid w:val="00644389"/>
    <w:rsid w:val="00647897"/>
    <w:rsid w:val="00651B6A"/>
    <w:rsid w:val="0065531A"/>
    <w:rsid w:val="00656252"/>
    <w:rsid w:val="00656EE1"/>
    <w:rsid w:val="0066135F"/>
    <w:rsid w:val="0066288D"/>
    <w:rsid w:val="00662F19"/>
    <w:rsid w:val="00667912"/>
    <w:rsid w:val="00674912"/>
    <w:rsid w:val="00674BA4"/>
    <w:rsid w:val="006846B5"/>
    <w:rsid w:val="006851F6"/>
    <w:rsid w:val="006871E3"/>
    <w:rsid w:val="00692F79"/>
    <w:rsid w:val="00694E50"/>
    <w:rsid w:val="00696DF7"/>
    <w:rsid w:val="006A339C"/>
    <w:rsid w:val="006A7D10"/>
    <w:rsid w:val="006B0BD4"/>
    <w:rsid w:val="006B2CB7"/>
    <w:rsid w:val="006B409A"/>
    <w:rsid w:val="006B4385"/>
    <w:rsid w:val="006B5AD6"/>
    <w:rsid w:val="006C421C"/>
    <w:rsid w:val="006C6D5B"/>
    <w:rsid w:val="006E2260"/>
    <w:rsid w:val="006E3616"/>
    <w:rsid w:val="006E4C16"/>
    <w:rsid w:val="006E5078"/>
    <w:rsid w:val="006F1C93"/>
    <w:rsid w:val="006F282D"/>
    <w:rsid w:val="006F4840"/>
    <w:rsid w:val="006F64FD"/>
    <w:rsid w:val="00702076"/>
    <w:rsid w:val="00702E4B"/>
    <w:rsid w:val="00704012"/>
    <w:rsid w:val="007041D1"/>
    <w:rsid w:val="0070739D"/>
    <w:rsid w:val="00711EE4"/>
    <w:rsid w:val="0071372E"/>
    <w:rsid w:val="0071763B"/>
    <w:rsid w:val="00721572"/>
    <w:rsid w:val="00721EC9"/>
    <w:rsid w:val="007247C9"/>
    <w:rsid w:val="00731602"/>
    <w:rsid w:val="00733B2E"/>
    <w:rsid w:val="00735DD0"/>
    <w:rsid w:val="007371D7"/>
    <w:rsid w:val="00741A48"/>
    <w:rsid w:val="00741EB7"/>
    <w:rsid w:val="00742259"/>
    <w:rsid w:val="00746E82"/>
    <w:rsid w:val="00753E68"/>
    <w:rsid w:val="00754496"/>
    <w:rsid w:val="00764350"/>
    <w:rsid w:val="007669A2"/>
    <w:rsid w:val="0076724E"/>
    <w:rsid w:val="00786518"/>
    <w:rsid w:val="007937BD"/>
    <w:rsid w:val="00795AC7"/>
    <w:rsid w:val="00796EC9"/>
    <w:rsid w:val="007A07CC"/>
    <w:rsid w:val="007A6DB7"/>
    <w:rsid w:val="007C3A4D"/>
    <w:rsid w:val="007C45CD"/>
    <w:rsid w:val="007C5CA5"/>
    <w:rsid w:val="007C7D1F"/>
    <w:rsid w:val="007D1FF4"/>
    <w:rsid w:val="007D7E5B"/>
    <w:rsid w:val="007E4987"/>
    <w:rsid w:val="007F2719"/>
    <w:rsid w:val="0080272F"/>
    <w:rsid w:val="00815456"/>
    <w:rsid w:val="00815A5B"/>
    <w:rsid w:val="00817D3C"/>
    <w:rsid w:val="00820C3C"/>
    <w:rsid w:val="008223C6"/>
    <w:rsid w:val="008256C9"/>
    <w:rsid w:val="008300D9"/>
    <w:rsid w:val="00836E6F"/>
    <w:rsid w:val="00845513"/>
    <w:rsid w:val="0085170D"/>
    <w:rsid w:val="008528B5"/>
    <w:rsid w:val="00855B8B"/>
    <w:rsid w:val="00864A97"/>
    <w:rsid w:val="00871DE0"/>
    <w:rsid w:val="00872266"/>
    <w:rsid w:val="00874580"/>
    <w:rsid w:val="008776AA"/>
    <w:rsid w:val="00880637"/>
    <w:rsid w:val="00885A6D"/>
    <w:rsid w:val="008873DD"/>
    <w:rsid w:val="0089165D"/>
    <w:rsid w:val="00896AAB"/>
    <w:rsid w:val="008A660B"/>
    <w:rsid w:val="008A799F"/>
    <w:rsid w:val="008B08D2"/>
    <w:rsid w:val="008B6C31"/>
    <w:rsid w:val="008B7253"/>
    <w:rsid w:val="008B72E5"/>
    <w:rsid w:val="008D2F3B"/>
    <w:rsid w:val="008D7BEF"/>
    <w:rsid w:val="008D7C7C"/>
    <w:rsid w:val="008E2781"/>
    <w:rsid w:val="008E2E6A"/>
    <w:rsid w:val="008E2F6E"/>
    <w:rsid w:val="008E5F8A"/>
    <w:rsid w:val="008E6D23"/>
    <w:rsid w:val="008E76FA"/>
    <w:rsid w:val="008F163A"/>
    <w:rsid w:val="009156AE"/>
    <w:rsid w:val="009348C0"/>
    <w:rsid w:val="00936FCA"/>
    <w:rsid w:val="009419B1"/>
    <w:rsid w:val="0095006B"/>
    <w:rsid w:val="00950E15"/>
    <w:rsid w:val="00953C06"/>
    <w:rsid w:val="00955959"/>
    <w:rsid w:val="009564BE"/>
    <w:rsid w:val="00957790"/>
    <w:rsid w:val="0097376F"/>
    <w:rsid w:val="00975396"/>
    <w:rsid w:val="00977505"/>
    <w:rsid w:val="009915DA"/>
    <w:rsid w:val="009925FC"/>
    <w:rsid w:val="009939EB"/>
    <w:rsid w:val="00993DDC"/>
    <w:rsid w:val="009948FF"/>
    <w:rsid w:val="00997EBA"/>
    <w:rsid w:val="009A0166"/>
    <w:rsid w:val="009A0B8C"/>
    <w:rsid w:val="009A0E11"/>
    <w:rsid w:val="009A172C"/>
    <w:rsid w:val="009A36FB"/>
    <w:rsid w:val="009B051F"/>
    <w:rsid w:val="009B054C"/>
    <w:rsid w:val="009B1BDD"/>
    <w:rsid w:val="009B6765"/>
    <w:rsid w:val="009C5D32"/>
    <w:rsid w:val="009C70C5"/>
    <w:rsid w:val="009D226D"/>
    <w:rsid w:val="009F0B00"/>
    <w:rsid w:val="009F3D2F"/>
    <w:rsid w:val="00A04056"/>
    <w:rsid w:val="00A126EC"/>
    <w:rsid w:val="00A13131"/>
    <w:rsid w:val="00A1471E"/>
    <w:rsid w:val="00A16270"/>
    <w:rsid w:val="00A16275"/>
    <w:rsid w:val="00A1691A"/>
    <w:rsid w:val="00A20F6B"/>
    <w:rsid w:val="00A21FFD"/>
    <w:rsid w:val="00A350B1"/>
    <w:rsid w:val="00A37FDF"/>
    <w:rsid w:val="00A4227E"/>
    <w:rsid w:val="00A42F26"/>
    <w:rsid w:val="00A44A38"/>
    <w:rsid w:val="00A540D7"/>
    <w:rsid w:val="00A60FD1"/>
    <w:rsid w:val="00A678A2"/>
    <w:rsid w:val="00A743E7"/>
    <w:rsid w:val="00A76BB9"/>
    <w:rsid w:val="00A84F85"/>
    <w:rsid w:val="00A872A1"/>
    <w:rsid w:val="00A90181"/>
    <w:rsid w:val="00A929EE"/>
    <w:rsid w:val="00A96A8A"/>
    <w:rsid w:val="00A97878"/>
    <w:rsid w:val="00A97C7A"/>
    <w:rsid w:val="00AA02B3"/>
    <w:rsid w:val="00AB5B52"/>
    <w:rsid w:val="00AD3347"/>
    <w:rsid w:val="00AE04C4"/>
    <w:rsid w:val="00AF234A"/>
    <w:rsid w:val="00AF4964"/>
    <w:rsid w:val="00AF5879"/>
    <w:rsid w:val="00B01483"/>
    <w:rsid w:val="00B04EA6"/>
    <w:rsid w:val="00B072BD"/>
    <w:rsid w:val="00B0771C"/>
    <w:rsid w:val="00B113D5"/>
    <w:rsid w:val="00B11B48"/>
    <w:rsid w:val="00B17250"/>
    <w:rsid w:val="00B20F6C"/>
    <w:rsid w:val="00B2236F"/>
    <w:rsid w:val="00B250E9"/>
    <w:rsid w:val="00B26DF2"/>
    <w:rsid w:val="00B274BE"/>
    <w:rsid w:val="00B274D9"/>
    <w:rsid w:val="00B3155B"/>
    <w:rsid w:val="00B31E89"/>
    <w:rsid w:val="00B37D4F"/>
    <w:rsid w:val="00B44651"/>
    <w:rsid w:val="00B450E2"/>
    <w:rsid w:val="00B46B76"/>
    <w:rsid w:val="00B56E0A"/>
    <w:rsid w:val="00B6659C"/>
    <w:rsid w:val="00B66EAF"/>
    <w:rsid w:val="00B7121C"/>
    <w:rsid w:val="00B75C0A"/>
    <w:rsid w:val="00B80892"/>
    <w:rsid w:val="00B8206C"/>
    <w:rsid w:val="00B82990"/>
    <w:rsid w:val="00BA0478"/>
    <w:rsid w:val="00BA6CF8"/>
    <w:rsid w:val="00BB2BE4"/>
    <w:rsid w:val="00BB510A"/>
    <w:rsid w:val="00BC7971"/>
    <w:rsid w:val="00BD76BF"/>
    <w:rsid w:val="00BE44CE"/>
    <w:rsid w:val="00BE4C5C"/>
    <w:rsid w:val="00BE73CF"/>
    <w:rsid w:val="00C0608C"/>
    <w:rsid w:val="00C11DD8"/>
    <w:rsid w:val="00C1417C"/>
    <w:rsid w:val="00C14D37"/>
    <w:rsid w:val="00C151D7"/>
    <w:rsid w:val="00C1766D"/>
    <w:rsid w:val="00C23567"/>
    <w:rsid w:val="00C26E3B"/>
    <w:rsid w:val="00C2748D"/>
    <w:rsid w:val="00C2787C"/>
    <w:rsid w:val="00C27DEE"/>
    <w:rsid w:val="00C32007"/>
    <w:rsid w:val="00C34B75"/>
    <w:rsid w:val="00C3576D"/>
    <w:rsid w:val="00C3578B"/>
    <w:rsid w:val="00C364DD"/>
    <w:rsid w:val="00C41F9C"/>
    <w:rsid w:val="00C441A6"/>
    <w:rsid w:val="00C4554E"/>
    <w:rsid w:val="00C520AB"/>
    <w:rsid w:val="00C54D81"/>
    <w:rsid w:val="00C64FD4"/>
    <w:rsid w:val="00C672F1"/>
    <w:rsid w:val="00C67517"/>
    <w:rsid w:val="00C72FE1"/>
    <w:rsid w:val="00C7622F"/>
    <w:rsid w:val="00C801D4"/>
    <w:rsid w:val="00C83065"/>
    <w:rsid w:val="00C8645E"/>
    <w:rsid w:val="00CA0BA4"/>
    <w:rsid w:val="00CA2826"/>
    <w:rsid w:val="00CA6019"/>
    <w:rsid w:val="00CC5886"/>
    <w:rsid w:val="00CC6A0C"/>
    <w:rsid w:val="00CE38AE"/>
    <w:rsid w:val="00CE6F15"/>
    <w:rsid w:val="00CE7C0C"/>
    <w:rsid w:val="00CE7DC5"/>
    <w:rsid w:val="00CF0EB5"/>
    <w:rsid w:val="00CF2E09"/>
    <w:rsid w:val="00CF7D78"/>
    <w:rsid w:val="00D03B0C"/>
    <w:rsid w:val="00D06539"/>
    <w:rsid w:val="00D131B1"/>
    <w:rsid w:val="00D157C5"/>
    <w:rsid w:val="00D22201"/>
    <w:rsid w:val="00D256D6"/>
    <w:rsid w:val="00D30F63"/>
    <w:rsid w:val="00D47FF9"/>
    <w:rsid w:val="00D51625"/>
    <w:rsid w:val="00D522B2"/>
    <w:rsid w:val="00D56BFB"/>
    <w:rsid w:val="00D627D3"/>
    <w:rsid w:val="00D66D10"/>
    <w:rsid w:val="00D7397F"/>
    <w:rsid w:val="00D755C6"/>
    <w:rsid w:val="00D77508"/>
    <w:rsid w:val="00D838F8"/>
    <w:rsid w:val="00D84FD8"/>
    <w:rsid w:val="00D95815"/>
    <w:rsid w:val="00DA1367"/>
    <w:rsid w:val="00DA3DB2"/>
    <w:rsid w:val="00DB02D0"/>
    <w:rsid w:val="00DB513B"/>
    <w:rsid w:val="00DB6148"/>
    <w:rsid w:val="00DC4A79"/>
    <w:rsid w:val="00DC5E8F"/>
    <w:rsid w:val="00DD03F1"/>
    <w:rsid w:val="00DD294D"/>
    <w:rsid w:val="00DD7849"/>
    <w:rsid w:val="00DE6EBC"/>
    <w:rsid w:val="00DE780A"/>
    <w:rsid w:val="00DF4D23"/>
    <w:rsid w:val="00E05A80"/>
    <w:rsid w:val="00E071C4"/>
    <w:rsid w:val="00E078B0"/>
    <w:rsid w:val="00E16E27"/>
    <w:rsid w:val="00E21051"/>
    <w:rsid w:val="00E36871"/>
    <w:rsid w:val="00E40F05"/>
    <w:rsid w:val="00E43AC8"/>
    <w:rsid w:val="00E4413C"/>
    <w:rsid w:val="00E47B5E"/>
    <w:rsid w:val="00E47E71"/>
    <w:rsid w:val="00E5057A"/>
    <w:rsid w:val="00E54EB6"/>
    <w:rsid w:val="00E5645A"/>
    <w:rsid w:val="00E57404"/>
    <w:rsid w:val="00E65A95"/>
    <w:rsid w:val="00E7284E"/>
    <w:rsid w:val="00E75DE2"/>
    <w:rsid w:val="00E77D8C"/>
    <w:rsid w:val="00E834C3"/>
    <w:rsid w:val="00E83CED"/>
    <w:rsid w:val="00E91575"/>
    <w:rsid w:val="00EA3790"/>
    <w:rsid w:val="00EA4DCA"/>
    <w:rsid w:val="00EB215A"/>
    <w:rsid w:val="00EB7FE4"/>
    <w:rsid w:val="00EC2BA6"/>
    <w:rsid w:val="00ED2194"/>
    <w:rsid w:val="00EE051D"/>
    <w:rsid w:val="00EE1A06"/>
    <w:rsid w:val="00EE2C6F"/>
    <w:rsid w:val="00EF19A4"/>
    <w:rsid w:val="00EF4EC6"/>
    <w:rsid w:val="00F01E82"/>
    <w:rsid w:val="00F02736"/>
    <w:rsid w:val="00F04153"/>
    <w:rsid w:val="00F0574E"/>
    <w:rsid w:val="00F06BB3"/>
    <w:rsid w:val="00F138B6"/>
    <w:rsid w:val="00F14281"/>
    <w:rsid w:val="00F232F5"/>
    <w:rsid w:val="00F25195"/>
    <w:rsid w:val="00F259CB"/>
    <w:rsid w:val="00F307A1"/>
    <w:rsid w:val="00F357FD"/>
    <w:rsid w:val="00F3677E"/>
    <w:rsid w:val="00F37367"/>
    <w:rsid w:val="00F458D4"/>
    <w:rsid w:val="00F465DE"/>
    <w:rsid w:val="00F473E2"/>
    <w:rsid w:val="00F55E4D"/>
    <w:rsid w:val="00F64028"/>
    <w:rsid w:val="00F66EE1"/>
    <w:rsid w:val="00F70E2B"/>
    <w:rsid w:val="00F716B5"/>
    <w:rsid w:val="00F71723"/>
    <w:rsid w:val="00F861F9"/>
    <w:rsid w:val="00F868FE"/>
    <w:rsid w:val="00F9490D"/>
    <w:rsid w:val="00FA087B"/>
    <w:rsid w:val="00FA0EF3"/>
    <w:rsid w:val="00FA32D8"/>
    <w:rsid w:val="00FA7E99"/>
    <w:rsid w:val="00FB06E2"/>
    <w:rsid w:val="00FB2241"/>
    <w:rsid w:val="00FB38A6"/>
    <w:rsid w:val="00FB667D"/>
    <w:rsid w:val="00FC4934"/>
    <w:rsid w:val="00FD2D99"/>
    <w:rsid w:val="00FD6805"/>
    <w:rsid w:val="00FE16D4"/>
    <w:rsid w:val="00FE6BA3"/>
    <w:rsid w:val="00FF0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31A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32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rsid w:val="0065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6553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655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531A"/>
  </w:style>
  <w:style w:type="paragraph" w:styleId="Rodap">
    <w:name w:val="footer"/>
    <w:basedOn w:val="Normal"/>
    <w:link w:val="RodapChar"/>
    <w:uiPriority w:val="99"/>
    <w:rsid w:val="00655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531A"/>
  </w:style>
  <w:style w:type="paragraph" w:styleId="PargrafodaLista">
    <w:name w:val="List Paragraph"/>
    <w:basedOn w:val="Normal"/>
    <w:uiPriority w:val="34"/>
    <w:qFormat/>
    <w:rsid w:val="0065531A"/>
    <w:pPr>
      <w:ind w:left="720"/>
      <w:contextualSpacing/>
    </w:pPr>
  </w:style>
  <w:style w:type="character" w:customStyle="1" w:styleId="A13">
    <w:name w:val="A13"/>
    <w:uiPriority w:val="99"/>
    <w:rsid w:val="0065531A"/>
    <w:rPr>
      <w:rFonts w:ascii="Bodoni BT" w:hAnsi="Bodoni BT" w:cs="Bodoni BT" w:hint="default"/>
      <w:color w:val="000000"/>
      <w:sz w:val="36"/>
      <w:szCs w:val="36"/>
    </w:rPr>
  </w:style>
  <w:style w:type="paragraph" w:customStyle="1" w:styleId="Default">
    <w:name w:val="Default"/>
    <w:rsid w:val="0065531A"/>
    <w:rPr>
      <w:rFonts w:ascii="Bodoni BT" w:hAnsi="Bodoni BT" w:cs="Bodoni BT"/>
      <w:color w:val="000000"/>
      <w:sz w:val="24"/>
      <w:szCs w:val="24"/>
    </w:rPr>
  </w:style>
  <w:style w:type="character" w:customStyle="1" w:styleId="A7">
    <w:name w:val="A7"/>
    <w:uiPriority w:val="99"/>
    <w:rsid w:val="0065531A"/>
    <w:rPr>
      <w:rFonts w:cs="Berkeley Oldstyle"/>
      <w:color w:val="000000"/>
      <w:sz w:val="12"/>
      <w:szCs w:val="12"/>
    </w:rPr>
  </w:style>
  <w:style w:type="character" w:styleId="Hyperlink">
    <w:name w:val="Hyperlink"/>
    <w:uiPriority w:val="99"/>
    <w:rsid w:val="0065531A"/>
    <w:rPr>
      <w:color w:val="0000FF"/>
      <w:u w:val="single"/>
    </w:rPr>
  </w:style>
  <w:style w:type="paragraph" w:styleId="Reviso">
    <w:name w:val="Revision"/>
    <w:uiPriority w:val="99"/>
    <w:rsid w:val="0065531A"/>
    <w:rPr>
      <w:sz w:val="22"/>
      <w:szCs w:val="22"/>
    </w:rPr>
  </w:style>
  <w:style w:type="character" w:styleId="Refdecomentrio">
    <w:name w:val="annotation reference"/>
    <w:uiPriority w:val="99"/>
    <w:rsid w:val="006553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553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5531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rsid w:val="0065531A"/>
    <w:rPr>
      <w:b/>
    </w:rPr>
  </w:style>
  <w:style w:type="character" w:customStyle="1" w:styleId="AssuntodocomentrioChar">
    <w:name w:val="Assunto do comentário Char"/>
    <w:link w:val="Assuntodocomentrio"/>
    <w:uiPriority w:val="99"/>
    <w:rsid w:val="0065531A"/>
    <w:rPr>
      <w:b/>
      <w:sz w:val="20"/>
      <w:szCs w:val="20"/>
    </w:rPr>
  </w:style>
  <w:style w:type="character" w:customStyle="1" w:styleId="apple-converted-space">
    <w:name w:val="apple-converted-space"/>
    <w:basedOn w:val="Fontepargpadro"/>
    <w:rsid w:val="0065531A"/>
  </w:style>
  <w:style w:type="character" w:styleId="Forte">
    <w:name w:val="Strong"/>
    <w:uiPriority w:val="22"/>
    <w:qFormat/>
    <w:rsid w:val="0065531A"/>
    <w:rPr>
      <w:b/>
    </w:rPr>
  </w:style>
  <w:style w:type="paragraph" w:customStyle="1" w:styleId="PargrafodaLista1">
    <w:name w:val="Parágrafo da Lista1"/>
    <w:basedOn w:val="Normal"/>
    <w:qFormat/>
    <w:rsid w:val="0065531A"/>
    <w:pPr>
      <w:ind w:left="720"/>
      <w:contextualSpacing/>
    </w:pPr>
    <w:rPr>
      <w:rFonts w:eastAsia="Calibri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A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A0E0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FA32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31A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32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rsid w:val="0065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6553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655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531A"/>
  </w:style>
  <w:style w:type="paragraph" w:styleId="Rodap">
    <w:name w:val="footer"/>
    <w:basedOn w:val="Normal"/>
    <w:link w:val="RodapChar"/>
    <w:uiPriority w:val="99"/>
    <w:rsid w:val="00655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531A"/>
  </w:style>
  <w:style w:type="paragraph" w:styleId="PargrafodaLista">
    <w:name w:val="List Paragraph"/>
    <w:basedOn w:val="Normal"/>
    <w:uiPriority w:val="34"/>
    <w:qFormat/>
    <w:rsid w:val="0065531A"/>
    <w:pPr>
      <w:ind w:left="720"/>
      <w:contextualSpacing/>
    </w:pPr>
  </w:style>
  <w:style w:type="character" w:customStyle="1" w:styleId="A13">
    <w:name w:val="A13"/>
    <w:uiPriority w:val="99"/>
    <w:rsid w:val="0065531A"/>
    <w:rPr>
      <w:rFonts w:ascii="Bodoni BT" w:hAnsi="Bodoni BT" w:cs="Bodoni BT" w:hint="default"/>
      <w:color w:val="000000"/>
      <w:sz w:val="36"/>
      <w:szCs w:val="36"/>
    </w:rPr>
  </w:style>
  <w:style w:type="paragraph" w:customStyle="1" w:styleId="Default">
    <w:name w:val="Default"/>
    <w:rsid w:val="0065531A"/>
    <w:rPr>
      <w:rFonts w:ascii="Bodoni BT" w:hAnsi="Bodoni BT" w:cs="Bodoni BT"/>
      <w:color w:val="000000"/>
      <w:sz w:val="24"/>
      <w:szCs w:val="24"/>
    </w:rPr>
  </w:style>
  <w:style w:type="character" w:customStyle="1" w:styleId="A7">
    <w:name w:val="A7"/>
    <w:uiPriority w:val="99"/>
    <w:rsid w:val="0065531A"/>
    <w:rPr>
      <w:rFonts w:cs="Berkeley Oldstyle"/>
      <w:color w:val="000000"/>
      <w:sz w:val="12"/>
      <w:szCs w:val="12"/>
    </w:rPr>
  </w:style>
  <w:style w:type="character" w:styleId="Hyperlink">
    <w:name w:val="Hyperlink"/>
    <w:uiPriority w:val="99"/>
    <w:rsid w:val="0065531A"/>
    <w:rPr>
      <w:color w:val="0000FF"/>
      <w:u w:val="single"/>
    </w:rPr>
  </w:style>
  <w:style w:type="paragraph" w:styleId="Reviso">
    <w:name w:val="Revision"/>
    <w:uiPriority w:val="99"/>
    <w:rsid w:val="0065531A"/>
    <w:rPr>
      <w:sz w:val="22"/>
      <w:szCs w:val="22"/>
    </w:rPr>
  </w:style>
  <w:style w:type="character" w:styleId="Refdecomentrio">
    <w:name w:val="annotation reference"/>
    <w:uiPriority w:val="99"/>
    <w:rsid w:val="006553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553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5531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rsid w:val="0065531A"/>
    <w:rPr>
      <w:b/>
    </w:rPr>
  </w:style>
  <w:style w:type="character" w:customStyle="1" w:styleId="AssuntodocomentrioChar">
    <w:name w:val="Assunto do comentário Char"/>
    <w:link w:val="Assuntodocomentrio"/>
    <w:uiPriority w:val="99"/>
    <w:rsid w:val="0065531A"/>
    <w:rPr>
      <w:b/>
      <w:sz w:val="20"/>
      <w:szCs w:val="20"/>
    </w:rPr>
  </w:style>
  <w:style w:type="character" w:customStyle="1" w:styleId="apple-converted-space">
    <w:name w:val="apple-converted-space"/>
    <w:basedOn w:val="Fontepargpadro"/>
    <w:rsid w:val="0065531A"/>
  </w:style>
  <w:style w:type="character" w:styleId="Forte">
    <w:name w:val="Strong"/>
    <w:uiPriority w:val="22"/>
    <w:qFormat/>
    <w:rsid w:val="0065531A"/>
    <w:rPr>
      <w:b/>
    </w:rPr>
  </w:style>
  <w:style w:type="paragraph" w:customStyle="1" w:styleId="PargrafodaLista1">
    <w:name w:val="Parágrafo da Lista1"/>
    <w:basedOn w:val="Normal"/>
    <w:qFormat/>
    <w:rsid w:val="0065531A"/>
    <w:pPr>
      <w:ind w:left="720"/>
      <w:contextualSpacing/>
    </w:pPr>
    <w:rPr>
      <w:rFonts w:eastAsia="Calibri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A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A0E0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FA32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riscilaCaldeira\Desktop\backup%20da%20pri\Nutri&#231;&#227;o%20UNA\UNA%208&#186;%20per&#237;odo\TCC%20final\avalia&#231;&#245;es%20nutricionais\DADOS%20REVISADOS%20E%20OFICIAIS%2009%20junho%202016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riscilaCaldeira\Desktop\backup%20da%20pri\Nutri&#231;&#227;o%20UNA\UNA%208&#186;%20per&#237;odo\TCC%20final\avalia&#231;&#245;es%20nutricionais\DADOS%20REVISADOS%20E%20OFICIAIS%2009%20junho%2020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Plan2!$A$23:$C$23</c:f>
              <c:strCache>
                <c:ptCount val="1"/>
                <c:pt idx="0">
                  <c:v>Tumores hematológicos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/>
                      <a:t>0% (0)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709-42EA-89D9-E9D9B11D7B6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900"/>
                      <a:t>5% (1)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709-42EA-89D9-E9D9B11D7B6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900"/>
                      <a:t>50% (10)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709-42EA-89D9-E9D9B11D7B6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900"/>
                      <a:t>30% (6)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709-42EA-89D9-E9D9B11D7B6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900"/>
                      <a:t>0% (0)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709-42EA-89D9-E9D9B11D7B60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900"/>
                      <a:t>15%  (3)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709-42EA-89D9-E9D9B11D7B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Plan2!$D$22:$I$22</c:f>
              <c:strCache>
                <c:ptCount val="6"/>
                <c:pt idx="0">
                  <c:v>MAGREZA  ACENTUADA</c:v>
                </c:pt>
                <c:pt idx="1">
                  <c:v>MAGREZA</c:v>
                </c:pt>
                <c:pt idx="2">
                  <c:v>EUTROFIA</c:v>
                </c:pt>
                <c:pt idx="3">
                  <c:v>RISCO DE SOBREPESO</c:v>
                </c:pt>
                <c:pt idx="4">
                  <c:v>SOBREPESO</c:v>
                </c:pt>
                <c:pt idx="5">
                  <c:v>OBESIDADE</c:v>
                </c:pt>
              </c:strCache>
            </c:strRef>
          </c:cat>
          <c:val>
            <c:numRef>
              <c:f>Plan2!$D$23:$I$23</c:f>
              <c:numCache>
                <c:formatCode>0%</c:formatCode>
                <c:ptCount val="6"/>
                <c:pt idx="0">
                  <c:v>0</c:v>
                </c:pt>
                <c:pt idx="1">
                  <c:v>0.05</c:v>
                </c:pt>
                <c:pt idx="2">
                  <c:v>0.5</c:v>
                </c:pt>
                <c:pt idx="3">
                  <c:v>0.3</c:v>
                </c:pt>
                <c:pt idx="4">
                  <c:v>0</c:v>
                </c:pt>
                <c:pt idx="5">
                  <c:v>0.15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709-42EA-89D9-E9D9B11D7B60}"/>
            </c:ext>
          </c:extLst>
        </c:ser>
        <c:ser>
          <c:idx val="1"/>
          <c:order val="1"/>
          <c:tx>
            <c:strRef>
              <c:f>Plan2!$A$24:$C$24</c:f>
              <c:strCache>
                <c:ptCount val="1"/>
                <c:pt idx="0">
                  <c:v>Tumores sólidos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/>
                      <a:t>8,30% (1)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709-42EA-89D9-E9D9B11D7B6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900"/>
                      <a:t>0% (0)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709-42EA-89D9-E9D9B11D7B6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900"/>
                      <a:t>41,7%</a:t>
                    </a:r>
                    <a:r>
                      <a:rPr lang="en-US" sz="900" baseline="0"/>
                      <a:t> (5)</a:t>
                    </a:r>
                    <a:endParaRPr lang="en-US" sz="9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709-42EA-89D9-E9D9B11D7B6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900"/>
                      <a:t>8,3%  (1)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709-42EA-89D9-E9D9B11D7B6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900"/>
                      <a:t>41,7% (5)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709-42EA-89D9-E9D9B11D7B60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900"/>
                      <a:t>0% </a:t>
                    </a:r>
                    <a:r>
                      <a:rPr lang="en-US" sz="900" baseline="0"/>
                      <a:t> (0)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709-42EA-89D9-E9D9B11D7B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Plan2!$D$22:$I$22</c:f>
              <c:strCache>
                <c:ptCount val="6"/>
                <c:pt idx="0">
                  <c:v>MAGREZA  ACENTUADA</c:v>
                </c:pt>
                <c:pt idx="1">
                  <c:v>MAGREZA</c:v>
                </c:pt>
                <c:pt idx="2">
                  <c:v>EUTROFIA</c:v>
                </c:pt>
                <c:pt idx="3">
                  <c:v>RISCO DE SOBREPESO</c:v>
                </c:pt>
                <c:pt idx="4">
                  <c:v>SOBREPESO</c:v>
                </c:pt>
                <c:pt idx="5">
                  <c:v>OBESIDADE</c:v>
                </c:pt>
              </c:strCache>
            </c:strRef>
          </c:cat>
          <c:val>
            <c:numRef>
              <c:f>Plan2!$D$24:$I$24</c:f>
              <c:numCache>
                <c:formatCode>0%</c:formatCode>
                <c:ptCount val="6"/>
                <c:pt idx="0" formatCode="0.00%">
                  <c:v>8.3000000000000004E-2</c:v>
                </c:pt>
                <c:pt idx="1">
                  <c:v>0</c:v>
                </c:pt>
                <c:pt idx="2" formatCode="0.0%">
                  <c:v>0.41699999999999998</c:v>
                </c:pt>
                <c:pt idx="3" formatCode="0.0%">
                  <c:v>8.3000000000000004E-2</c:v>
                </c:pt>
                <c:pt idx="4" formatCode="0.0%">
                  <c:v>0.41699999999999998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D709-42EA-89D9-E9D9B11D7B6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1970944"/>
        <c:axId val="91972736"/>
      </c:barChart>
      <c:catAx>
        <c:axId val="91970944"/>
        <c:scaling>
          <c:orientation val="minMax"/>
        </c:scaling>
        <c:delete val="0"/>
        <c:axPos val="l"/>
        <c:numFmt formatCode="ge\r\a\l" sourceLinked="0"/>
        <c:majorTickMark val="none"/>
        <c:minorTickMark val="none"/>
        <c:tickLblPos val="nextTo"/>
        <c:crossAx val="91972736"/>
        <c:crosses val="autoZero"/>
        <c:auto val="1"/>
        <c:lblAlgn val="ctr"/>
        <c:lblOffset val="100"/>
        <c:noMultiLvlLbl val="0"/>
      </c:catAx>
      <c:valAx>
        <c:axId val="91972736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one"/>
        <c:crossAx val="919709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6000216467786889"/>
          <c:y val="5.3921568627450983E-2"/>
          <c:w val="0.63999783532213117"/>
          <c:h val="0.7741033657557511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Plan2!$A$29:$C$29</c:f>
              <c:strCache>
                <c:ptCount val="1"/>
                <c:pt idx="0">
                  <c:v>Tumores hematológicos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/>
                      <a:t>0% (0)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D4F-4067-8255-A38DEF91797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900"/>
                      <a:t>5,6%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4F-4067-8255-A38DEF91797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900"/>
                      <a:t>16,7% (3)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D4F-4067-8255-A38DEF91797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900"/>
                      <a:t>61,1% (11)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D4F-4067-8255-A38DEF91797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900"/>
                      <a:t>5,6%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D4F-4067-8255-A38DEF917973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900"/>
                      <a:t>11,1% (2)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D4F-4067-8255-A38DEF9179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Plan2!$D$28:$I$28</c:f>
              <c:strCache>
                <c:ptCount val="6"/>
                <c:pt idx="0">
                  <c:v>DESNUTRIÇÃO GRAVE</c:v>
                </c:pt>
                <c:pt idx="1">
                  <c:v>DESNUTRIÇÃO MODERADA</c:v>
                </c:pt>
                <c:pt idx="2">
                  <c:v>DESNUTRIÇÃO LEVE</c:v>
                </c:pt>
                <c:pt idx="3">
                  <c:v>EUTROFIA</c:v>
                </c:pt>
                <c:pt idx="4">
                  <c:v>SOBREPESO</c:v>
                </c:pt>
                <c:pt idx="5">
                  <c:v>OBESIDADE</c:v>
                </c:pt>
              </c:strCache>
            </c:strRef>
          </c:cat>
          <c:val>
            <c:numRef>
              <c:f>Plan2!$D$29:$I$29</c:f>
              <c:numCache>
                <c:formatCode>0.0%</c:formatCode>
                <c:ptCount val="6"/>
                <c:pt idx="0" formatCode="0%">
                  <c:v>0</c:v>
                </c:pt>
                <c:pt idx="1">
                  <c:v>5.6000000000000001E-2</c:v>
                </c:pt>
                <c:pt idx="2">
                  <c:v>0.16700000000000001</c:v>
                </c:pt>
                <c:pt idx="3">
                  <c:v>0.61099999999999999</c:v>
                </c:pt>
                <c:pt idx="4">
                  <c:v>5.6000000000000001E-2</c:v>
                </c:pt>
                <c:pt idx="5">
                  <c:v>0.111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D4F-4067-8255-A38DEF917973}"/>
            </c:ext>
          </c:extLst>
        </c:ser>
        <c:ser>
          <c:idx val="1"/>
          <c:order val="1"/>
          <c:tx>
            <c:strRef>
              <c:f>Plan2!$A$30:$C$30</c:f>
              <c:strCache>
                <c:ptCount val="1"/>
                <c:pt idx="0">
                  <c:v>Tumores sólidos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/>
                      <a:t>16,7% (2)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D4F-4067-8255-A38DEF91797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900"/>
                      <a:t>8,3%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D4F-4067-8255-A38DEF91797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900"/>
                      <a:t>33,3% (4)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D4F-4067-8255-A38DEF91797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900"/>
                      <a:t>33,3% (4)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D4F-4067-8255-A38DEF91797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900"/>
                      <a:t>0% (0)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D4F-4067-8255-A38DEF917973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900"/>
                      <a:t>8,3% (1)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D4F-4067-8255-A38DEF9179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Plan2!$D$28:$I$28</c:f>
              <c:strCache>
                <c:ptCount val="6"/>
                <c:pt idx="0">
                  <c:v>DESNUTRIÇÃO GRAVE</c:v>
                </c:pt>
                <c:pt idx="1">
                  <c:v>DESNUTRIÇÃO MODERADA</c:v>
                </c:pt>
                <c:pt idx="2">
                  <c:v>DESNUTRIÇÃO LEVE</c:v>
                </c:pt>
                <c:pt idx="3">
                  <c:v>EUTROFIA</c:v>
                </c:pt>
                <c:pt idx="4">
                  <c:v>SOBREPESO</c:v>
                </c:pt>
                <c:pt idx="5">
                  <c:v>OBESIDADE</c:v>
                </c:pt>
              </c:strCache>
            </c:strRef>
          </c:cat>
          <c:val>
            <c:numRef>
              <c:f>Plan2!$D$30:$I$30</c:f>
              <c:numCache>
                <c:formatCode>0.0%</c:formatCode>
                <c:ptCount val="6"/>
                <c:pt idx="0">
                  <c:v>0.16700000000000001</c:v>
                </c:pt>
                <c:pt idx="1">
                  <c:v>8.3000000000000004E-2</c:v>
                </c:pt>
                <c:pt idx="2">
                  <c:v>0.33300000000000002</c:v>
                </c:pt>
                <c:pt idx="3">
                  <c:v>0.33300000000000002</c:v>
                </c:pt>
                <c:pt idx="4" formatCode="0%">
                  <c:v>0</c:v>
                </c:pt>
                <c:pt idx="5">
                  <c:v>8.3000000000000004E-2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DD4F-4067-8255-A38DEF91797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2006656"/>
        <c:axId val="92282880"/>
      </c:barChart>
      <c:catAx>
        <c:axId val="92006656"/>
        <c:scaling>
          <c:orientation val="minMax"/>
        </c:scaling>
        <c:delete val="0"/>
        <c:axPos val="l"/>
        <c:numFmt formatCode="ge\r\a\l" sourceLinked="0"/>
        <c:majorTickMark val="none"/>
        <c:minorTickMark val="none"/>
        <c:tickLblPos val="nextTo"/>
        <c:crossAx val="92282880"/>
        <c:crosses val="autoZero"/>
        <c:auto val="1"/>
        <c:lblAlgn val="ctr"/>
        <c:lblOffset val="100"/>
        <c:noMultiLvlLbl val="0"/>
      </c:catAx>
      <c:valAx>
        <c:axId val="92282880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one"/>
        <c:crossAx val="920066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0AAB7-4BBD-459F-A94E-1C1BF88D6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4108</Words>
  <Characters>22187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2016-06-15T20:31:00Z</dcterms:created>
  <dcterms:modified xsi:type="dcterms:W3CDTF">2016-06-15T20:31:00Z</dcterms:modified>
</cp:coreProperties>
</file>