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6FB" w:rsidRDefault="005526FB" w:rsidP="00082596">
      <w:pPr>
        <w:spacing w:after="0" w:line="240" w:lineRule="auto"/>
        <w:jc w:val="center"/>
        <w:rPr>
          <w:rFonts w:ascii="Times New Roman" w:hAnsi="Times New Roman"/>
          <w:sz w:val="24"/>
          <w:szCs w:val="24"/>
        </w:rPr>
      </w:pPr>
    </w:p>
    <w:p w:rsidR="00B206A4" w:rsidRPr="00DC3FF0" w:rsidRDefault="00B206A4" w:rsidP="00082596">
      <w:pPr>
        <w:spacing w:after="0" w:line="240" w:lineRule="auto"/>
        <w:jc w:val="center"/>
        <w:rPr>
          <w:rFonts w:ascii="Times New Roman" w:hAnsi="Times New Roman"/>
          <w:b/>
          <w:caps/>
          <w:color w:val="000000"/>
          <w:sz w:val="24"/>
          <w:szCs w:val="24"/>
          <w:lang w:eastAsia="pt-BR"/>
        </w:rPr>
      </w:pPr>
      <w:r w:rsidRPr="00DC3FF0">
        <w:rPr>
          <w:rFonts w:ascii="Times New Roman" w:hAnsi="Times New Roman"/>
          <w:sz w:val="24"/>
          <w:szCs w:val="24"/>
        </w:rPr>
        <w:t xml:space="preserve">Sobrevida e fatores de risco de mortalidade em pacientes </w:t>
      </w:r>
      <w:proofErr w:type="gramStart"/>
      <w:r w:rsidRPr="00DC3FF0">
        <w:rPr>
          <w:rFonts w:ascii="Times New Roman" w:hAnsi="Times New Roman"/>
          <w:sz w:val="24"/>
          <w:szCs w:val="24"/>
        </w:rPr>
        <w:t>sob hemodiálise</w:t>
      </w:r>
      <w:proofErr w:type="gramEnd"/>
      <w:r w:rsidRPr="00DC3FF0">
        <w:rPr>
          <w:rFonts w:ascii="Times New Roman" w:hAnsi="Times New Roman"/>
          <w:b/>
          <w:sz w:val="24"/>
          <w:szCs w:val="24"/>
        </w:rPr>
        <w:t xml:space="preserve"> </w:t>
      </w:r>
    </w:p>
    <w:p w:rsidR="00B206A4" w:rsidRPr="00DC3FF0" w:rsidRDefault="00B206A4" w:rsidP="00986AED">
      <w:pPr>
        <w:spacing w:line="360" w:lineRule="auto"/>
        <w:rPr>
          <w:rFonts w:ascii="Times New Roman" w:hAnsi="Times New Roman"/>
          <w:i/>
          <w:sz w:val="24"/>
          <w:szCs w:val="24"/>
        </w:rPr>
      </w:pPr>
    </w:p>
    <w:p w:rsidR="00B206A4" w:rsidRPr="00DC3FF0" w:rsidRDefault="00B206A4" w:rsidP="004C15E4">
      <w:pPr>
        <w:spacing w:after="0" w:line="240" w:lineRule="auto"/>
        <w:rPr>
          <w:rFonts w:ascii="Times New Roman" w:hAnsi="Times New Roman"/>
          <w:b/>
          <w:sz w:val="24"/>
          <w:szCs w:val="24"/>
        </w:rPr>
      </w:pPr>
    </w:p>
    <w:p w:rsidR="00B206A4" w:rsidRPr="00DC3FF0" w:rsidRDefault="00B206A4" w:rsidP="004C15E4">
      <w:pPr>
        <w:spacing w:after="0" w:line="240" w:lineRule="auto"/>
        <w:rPr>
          <w:rFonts w:ascii="Times New Roman" w:hAnsi="Times New Roman"/>
          <w:b/>
          <w:sz w:val="24"/>
          <w:szCs w:val="24"/>
        </w:rPr>
      </w:pPr>
      <w:r w:rsidRPr="00DC3FF0">
        <w:rPr>
          <w:rFonts w:ascii="Times New Roman" w:hAnsi="Times New Roman"/>
          <w:b/>
          <w:sz w:val="24"/>
          <w:szCs w:val="24"/>
        </w:rPr>
        <w:t>RESUMO</w:t>
      </w:r>
    </w:p>
    <w:p w:rsidR="00B206A4" w:rsidRDefault="00B206A4" w:rsidP="00076677">
      <w:pPr>
        <w:pStyle w:val="Body1"/>
        <w:spacing w:line="480" w:lineRule="auto"/>
        <w:jc w:val="both"/>
        <w:rPr>
          <w:rFonts w:ascii="Times New Roman" w:hAnsi="Times New Roman"/>
          <w:szCs w:val="24"/>
        </w:rPr>
      </w:pPr>
    </w:p>
    <w:p w:rsidR="00B206A4" w:rsidRPr="00DC3FF0" w:rsidRDefault="00B206A4" w:rsidP="00986AED">
      <w:pPr>
        <w:pStyle w:val="Body1"/>
        <w:spacing w:line="480" w:lineRule="auto"/>
        <w:jc w:val="both"/>
        <w:rPr>
          <w:rFonts w:ascii="Times New Roman" w:hAnsi="Times New Roman"/>
          <w:szCs w:val="24"/>
        </w:rPr>
      </w:pPr>
      <w:r w:rsidRPr="00DC3FF0">
        <w:rPr>
          <w:rFonts w:ascii="Times New Roman" w:hAnsi="Times New Roman"/>
          <w:szCs w:val="24"/>
        </w:rPr>
        <w:t xml:space="preserve">O objetivo deste estudo é determinar o padrão de mortalidade de pacientes em hemodiálise no Centro Pró-Renal de Barbacena e determinar a influência das variáveis mencionadas na </w:t>
      </w:r>
      <w:r w:rsidRPr="00986AED">
        <w:rPr>
          <w:rFonts w:ascii="Times New Roman" w:hAnsi="Times New Roman"/>
          <w:color w:val="auto"/>
          <w:szCs w:val="24"/>
        </w:rPr>
        <w:t xml:space="preserve">sobrevida desses pacientes no período de agosto de </w:t>
      </w:r>
      <w:smartTag w:uri="urn:schemas-microsoft-com:office:smarttags" w:element="metricconverter">
        <w:smartTagPr>
          <w:attr w:name="ProductID" w:val="2004 a"/>
        </w:smartTagPr>
        <w:r w:rsidRPr="00986AED">
          <w:rPr>
            <w:rFonts w:ascii="Times New Roman" w:hAnsi="Times New Roman"/>
            <w:color w:val="auto"/>
            <w:szCs w:val="24"/>
          </w:rPr>
          <w:t>2004 a</w:t>
        </w:r>
      </w:smartTag>
      <w:r w:rsidRPr="00986AED">
        <w:rPr>
          <w:rFonts w:ascii="Times New Roman" w:hAnsi="Times New Roman"/>
          <w:color w:val="auto"/>
          <w:szCs w:val="24"/>
        </w:rPr>
        <w:t xml:space="preserve"> julho de 2011. Trata-se de um</w:t>
      </w:r>
      <w:r w:rsidRPr="00DC3FF0">
        <w:rPr>
          <w:rFonts w:ascii="Times New Roman" w:hAnsi="Times New Roman"/>
          <w:szCs w:val="24"/>
        </w:rPr>
        <w:t xml:space="preserve"> estudo de corte transversal constituído de uma amostra de 202 pacientes </w:t>
      </w:r>
      <w:proofErr w:type="gramStart"/>
      <w:r w:rsidRPr="00DC3FF0">
        <w:rPr>
          <w:rFonts w:ascii="Times New Roman" w:hAnsi="Times New Roman"/>
          <w:szCs w:val="24"/>
        </w:rPr>
        <w:t>sob tratamento</w:t>
      </w:r>
      <w:proofErr w:type="gramEnd"/>
      <w:r w:rsidRPr="00DC3FF0">
        <w:rPr>
          <w:rFonts w:ascii="Times New Roman" w:hAnsi="Times New Roman"/>
          <w:szCs w:val="24"/>
        </w:rPr>
        <w:t xml:space="preserve"> </w:t>
      </w:r>
      <w:proofErr w:type="spellStart"/>
      <w:r w:rsidRPr="00DC3FF0">
        <w:rPr>
          <w:rFonts w:ascii="Times New Roman" w:hAnsi="Times New Roman"/>
          <w:szCs w:val="24"/>
        </w:rPr>
        <w:t>hemodialítico</w:t>
      </w:r>
      <w:proofErr w:type="spellEnd"/>
      <w:r w:rsidRPr="00DC3FF0">
        <w:rPr>
          <w:rFonts w:ascii="Times New Roman" w:hAnsi="Times New Roman"/>
          <w:szCs w:val="24"/>
        </w:rPr>
        <w:t xml:space="preserve">. A análise dos dados foi feita em microcomputador, com recursos de processamento estatístico do “software” (STATA 9.2). Foram construídas as distribuições de frequência e calculadas as medidas, desvios padrões e percentagens indicadas para cada variável. </w:t>
      </w:r>
      <w:r>
        <w:rPr>
          <w:rFonts w:ascii="Times New Roman" w:hAnsi="Times New Roman"/>
          <w:szCs w:val="24"/>
        </w:rPr>
        <w:t>A</w:t>
      </w:r>
      <w:r w:rsidRPr="00DC3FF0">
        <w:rPr>
          <w:rFonts w:ascii="Times New Roman" w:hAnsi="Times New Roman"/>
          <w:szCs w:val="24"/>
        </w:rPr>
        <w:t xml:space="preserve"> taxa de sobrevida foi de 85% no final do primeiro ano de tratamento e 67% no quinto ano. As principais causas de óbito foram doenças cardiovasculares (34,4%), outras causas (21,3%) e doenças infecciosas (16,4%).  Valores de </w:t>
      </w:r>
      <w:proofErr w:type="spellStart"/>
      <w:r w:rsidRPr="00DC3FF0">
        <w:rPr>
          <w:rFonts w:ascii="Times New Roman" w:hAnsi="Times New Roman"/>
          <w:szCs w:val="24"/>
        </w:rPr>
        <w:t>Kt</w:t>
      </w:r>
      <w:proofErr w:type="spellEnd"/>
      <w:r w:rsidRPr="00DC3FF0">
        <w:rPr>
          <w:rFonts w:ascii="Times New Roman" w:hAnsi="Times New Roman"/>
          <w:szCs w:val="24"/>
        </w:rPr>
        <w:t xml:space="preserve">/V acima de </w:t>
      </w:r>
      <w:proofErr w:type="gramStart"/>
      <w:r w:rsidRPr="00DC3FF0">
        <w:rPr>
          <w:rFonts w:ascii="Times New Roman" w:hAnsi="Times New Roman"/>
          <w:szCs w:val="24"/>
        </w:rPr>
        <w:t>1,3 ,</w:t>
      </w:r>
      <w:proofErr w:type="gramEnd"/>
      <w:r w:rsidRPr="00DC3FF0">
        <w:rPr>
          <w:rFonts w:ascii="Times New Roman" w:hAnsi="Times New Roman"/>
          <w:szCs w:val="24"/>
        </w:rPr>
        <w:t xml:space="preserve"> hemoglobina  &gt;7 g/ </w:t>
      </w:r>
      <w:proofErr w:type="spellStart"/>
      <w:r w:rsidRPr="00DC3FF0">
        <w:rPr>
          <w:rFonts w:ascii="Times New Roman" w:hAnsi="Times New Roman"/>
          <w:szCs w:val="24"/>
        </w:rPr>
        <w:t>dL</w:t>
      </w:r>
      <w:proofErr w:type="spellEnd"/>
      <w:r w:rsidRPr="00DC3FF0">
        <w:rPr>
          <w:rFonts w:ascii="Times New Roman" w:hAnsi="Times New Roman"/>
          <w:szCs w:val="24"/>
        </w:rPr>
        <w:t xml:space="preserve">, </w:t>
      </w:r>
      <w:proofErr w:type="spellStart"/>
      <w:r w:rsidRPr="00DC3FF0">
        <w:rPr>
          <w:rFonts w:ascii="Times New Roman" w:hAnsi="Times New Roman"/>
          <w:szCs w:val="24"/>
        </w:rPr>
        <w:t>ferritina</w:t>
      </w:r>
      <w:proofErr w:type="spellEnd"/>
      <w:r w:rsidRPr="00DC3FF0">
        <w:rPr>
          <w:rFonts w:ascii="Times New Roman" w:hAnsi="Times New Roman"/>
          <w:szCs w:val="24"/>
        </w:rPr>
        <w:t xml:space="preserve"> entre 200 e 800,  PTH &lt; 400, albumina sérica &gt; 3,5g/</w:t>
      </w:r>
      <w:proofErr w:type="spellStart"/>
      <w:r w:rsidRPr="00DC3FF0">
        <w:rPr>
          <w:rFonts w:ascii="Times New Roman" w:hAnsi="Times New Roman"/>
          <w:szCs w:val="24"/>
        </w:rPr>
        <w:t>dL</w:t>
      </w:r>
      <w:proofErr w:type="spellEnd"/>
      <w:r w:rsidRPr="00DC3FF0">
        <w:rPr>
          <w:rFonts w:ascii="Times New Roman" w:hAnsi="Times New Roman"/>
          <w:szCs w:val="24"/>
        </w:rPr>
        <w:t xml:space="preserve"> estão relacionados c</w:t>
      </w:r>
      <w:r>
        <w:rPr>
          <w:rFonts w:ascii="Times New Roman" w:hAnsi="Times New Roman"/>
          <w:szCs w:val="24"/>
        </w:rPr>
        <w:t xml:space="preserve">om melhores taxas de sobrevida. </w:t>
      </w:r>
      <w:proofErr w:type="gramStart"/>
      <w:r>
        <w:rPr>
          <w:rFonts w:ascii="Times New Roman" w:hAnsi="Times New Roman"/>
          <w:szCs w:val="24"/>
        </w:rPr>
        <w:t>A</w:t>
      </w:r>
      <w:r w:rsidRPr="00DC3FF0">
        <w:rPr>
          <w:rFonts w:ascii="Times New Roman" w:hAnsi="Times New Roman"/>
          <w:szCs w:val="24"/>
        </w:rPr>
        <w:t>s variáveis albumina</w:t>
      </w:r>
      <w:proofErr w:type="gramEnd"/>
      <w:r w:rsidRPr="00DC3FF0">
        <w:rPr>
          <w:rFonts w:ascii="Times New Roman" w:hAnsi="Times New Roman"/>
          <w:szCs w:val="24"/>
        </w:rPr>
        <w:t xml:space="preserve">, </w:t>
      </w:r>
      <w:proofErr w:type="spellStart"/>
      <w:r w:rsidRPr="00DC3FF0">
        <w:rPr>
          <w:rFonts w:ascii="Times New Roman" w:hAnsi="Times New Roman"/>
          <w:szCs w:val="24"/>
        </w:rPr>
        <w:t>Kt</w:t>
      </w:r>
      <w:proofErr w:type="spellEnd"/>
      <w:r w:rsidRPr="00DC3FF0">
        <w:rPr>
          <w:rFonts w:ascii="Times New Roman" w:hAnsi="Times New Roman"/>
          <w:szCs w:val="24"/>
        </w:rPr>
        <w:t xml:space="preserve">/V, hemoglobina, </w:t>
      </w:r>
      <w:proofErr w:type="spellStart"/>
      <w:r w:rsidRPr="00DC3FF0">
        <w:rPr>
          <w:rFonts w:ascii="Times New Roman" w:hAnsi="Times New Roman"/>
          <w:szCs w:val="24"/>
        </w:rPr>
        <w:t>ferritina</w:t>
      </w:r>
      <w:proofErr w:type="spellEnd"/>
      <w:r w:rsidRPr="00DC3FF0">
        <w:rPr>
          <w:rFonts w:ascii="Times New Roman" w:hAnsi="Times New Roman"/>
          <w:szCs w:val="24"/>
        </w:rPr>
        <w:t xml:space="preserve"> e PTH estão relacionadas à sobrevida e são preditivos de fatores de risco de mortalidade para pacientes </w:t>
      </w:r>
      <w:proofErr w:type="spellStart"/>
      <w:r w:rsidRPr="00DC3FF0">
        <w:rPr>
          <w:rFonts w:ascii="Times New Roman" w:hAnsi="Times New Roman"/>
          <w:szCs w:val="24"/>
        </w:rPr>
        <w:t>hemodialíticos</w:t>
      </w:r>
      <w:proofErr w:type="spellEnd"/>
      <w:r w:rsidRPr="00DC3FF0">
        <w:rPr>
          <w:rFonts w:ascii="Times New Roman" w:hAnsi="Times New Roman"/>
          <w:szCs w:val="24"/>
        </w:rPr>
        <w:t xml:space="preserve">. Para se </w:t>
      </w:r>
      <w:proofErr w:type="gramStart"/>
      <w:r w:rsidRPr="00DC3FF0">
        <w:rPr>
          <w:rFonts w:ascii="Times New Roman" w:hAnsi="Times New Roman"/>
          <w:szCs w:val="24"/>
        </w:rPr>
        <w:t>obter</w:t>
      </w:r>
      <w:proofErr w:type="gramEnd"/>
      <w:r w:rsidRPr="00DC3FF0">
        <w:rPr>
          <w:rFonts w:ascii="Times New Roman" w:hAnsi="Times New Roman"/>
          <w:szCs w:val="24"/>
        </w:rPr>
        <w:t xml:space="preserve"> bons resultados prognósticos em relação aos pacientes em tratamento </w:t>
      </w:r>
      <w:proofErr w:type="spellStart"/>
      <w:r w:rsidRPr="00DC3FF0">
        <w:rPr>
          <w:rFonts w:ascii="Times New Roman" w:hAnsi="Times New Roman"/>
          <w:szCs w:val="24"/>
        </w:rPr>
        <w:t>hemodialítico</w:t>
      </w:r>
      <w:proofErr w:type="spellEnd"/>
      <w:r w:rsidRPr="00DC3FF0">
        <w:rPr>
          <w:rFonts w:ascii="Times New Roman" w:hAnsi="Times New Roman"/>
          <w:szCs w:val="24"/>
        </w:rPr>
        <w:t>, é fundamental que as variáveis analisadas no estudo sejam corretamente avaliadas.</w:t>
      </w:r>
    </w:p>
    <w:p w:rsidR="00B206A4" w:rsidRPr="00DC3FF0" w:rsidRDefault="00B206A4" w:rsidP="00076677">
      <w:pPr>
        <w:spacing w:line="480" w:lineRule="auto"/>
        <w:jc w:val="both"/>
        <w:rPr>
          <w:rFonts w:ascii="Times New Roman" w:hAnsi="Times New Roman"/>
          <w:sz w:val="24"/>
          <w:szCs w:val="24"/>
        </w:rPr>
      </w:pPr>
    </w:p>
    <w:p w:rsidR="00B206A4" w:rsidRPr="00DC3FF0" w:rsidRDefault="00B206A4" w:rsidP="00076677">
      <w:pPr>
        <w:spacing w:line="480" w:lineRule="auto"/>
        <w:jc w:val="both"/>
        <w:rPr>
          <w:rFonts w:ascii="Times New Roman" w:hAnsi="Times New Roman"/>
          <w:sz w:val="24"/>
          <w:szCs w:val="24"/>
        </w:rPr>
      </w:pPr>
      <w:r w:rsidRPr="00DC3FF0">
        <w:rPr>
          <w:rFonts w:ascii="Times New Roman" w:hAnsi="Times New Roman"/>
          <w:sz w:val="24"/>
          <w:szCs w:val="24"/>
        </w:rPr>
        <w:t xml:space="preserve">Palavras-chaves: Insuficiência Renal Crônica. </w:t>
      </w:r>
      <w:r w:rsidR="006412FB">
        <w:rPr>
          <w:rFonts w:ascii="Times New Roman" w:hAnsi="Times New Roman"/>
          <w:sz w:val="24"/>
          <w:szCs w:val="24"/>
        </w:rPr>
        <w:t>Unidades Hospitalares de Hemodiálise. Análise de Sobrevivência</w:t>
      </w:r>
      <w:r w:rsidRPr="00DC3FF0">
        <w:rPr>
          <w:rFonts w:ascii="Times New Roman" w:hAnsi="Times New Roman"/>
          <w:sz w:val="24"/>
          <w:szCs w:val="24"/>
        </w:rPr>
        <w:t>. Mortalidade.</w:t>
      </w:r>
    </w:p>
    <w:p w:rsidR="00B206A4" w:rsidRPr="00DC3FF0" w:rsidRDefault="00B206A4" w:rsidP="00076677">
      <w:pPr>
        <w:spacing w:line="480" w:lineRule="auto"/>
        <w:jc w:val="both"/>
        <w:rPr>
          <w:rFonts w:ascii="Times New Roman" w:hAnsi="Times New Roman"/>
          <w:sz w:val="24"/>
          <w:szCs w:val="24"/>
        </w:rPr>
      </w:pPr>
    </w:p>
    <w:p w:rsidR="00B206A4" w:rsidRPr="00DC3FF0" w:rsidRDefault="00B206A4" w:rsidP="00076677">
      <w:pPr>
        <w:pStyle w:val="PargrafodaLista"/>
        <w:numPr>
          <w:ilvl w:val="0"/>
          <w:numId w:val="8"/>
        </w:numPr>
        <w:spacing w:after="0" w:line="480" w:lineRule="auto"/>
        <w:jc w:val="both"/>
        <w:textAlignment w:val="baseline"/>
        <w:rPr>
          <w:rFonts w:ascii="Times New Roman" w:hAnsi="Times New Roman"/>
          <w:sz w:val="24"/>
          <w:szCs w:val="24"/>
        </w:rPr>
      </w:pPr>
      <w:r w:rsidRPr="00DC3FF0">
        <w:rPr>
          <w:rFonts w:ascii="Times New Roman" w:hAnsi="Times New Roman"/>
          <w:b/>
          <w:color w:val="000000"/>
          <w:sz w:val="24"/>
          <w:szCs w:val="24"/>
        </w:rPr>
        <w:lastRenderedPageBreak/>
        <w:t xml:space="preserve">INTRODUÇÃO </w:t>
      </w:r>
    </w:p>
    <w:p w:rsidR="00B206A4" w:rsidRPr="00DC3FF0" w:rsidRDefault="00B206A4" w:rsidP="00076677">
      <w:pPr>
        <w:pStyle w:val="Body1"/>
        <w:spacing w:line="480" w:lineRule="auto"/>
        <w:ind w:firstLine="357"/>
        <w:jc w:val="both"/>
        <w:rPr>
          <w:rFonts w:ascii="Times New Roman" w:hAnsi="Times New Roman"/>
          <w:szCs w:val="24"/>
        </w:rPr>
      </w:pPr>
    </w:p>
    <w:p w:rsidR="00B206A4" w:rsidRPr="00DC3FF0" w:rsidRDefault="00B206A4" w:rsidP="00076677">
      <w:pPr>
        <w:pStyle w:val="Body1"/>
        <w:spacing w:line="480" w:lineRule="auto"/>
        <w:ind w:firstLine="357"/>
        <w:jc w:val="both"/>
        <w:rPr>
          <w:rFonts w:ascii="Times New Roman" w:hAnsi="Times New Roman"/>
          <w:szCs w:val="24"/>
        </w:rPr>
      </w:pPr>
      <w:r w:rsidRPr="00DC3FF0">
        <w:rPr>
          <w:rFonts w:ascii="Times New Roman" w:hAnsi="Times New Roman"/>
          <w:szCs w:val="24"/>
        </w:rPr>
        <w:t xml:space="preserve">A Doença Renal Crônica (DRC) é uma condição fisiopatológica secundária a um grande número de afecções que resultam em lesão e perda progressiva da função dos </w:t>
      </w:r>
      <w:proofErr w:type="spellStart"/>
      <w:r w:rsidRPr="00DC3FF0">
        <w:rPr>
          <w:rFonts w:ascii="Times New Roman" w:hAnsi="Times New Roman"/>
          <w:szCs w:val="24"/>
        </w:rPr>
        <w:t>néfrons</w:t>
      </w:r>
      <w:proofErr w:type="spellEnd"/>
      <w:r w:rsidRPr="00DC3FF0">
        <w:rPr>
          <w:rFonts w:ascii="Times New Roman" w:hAnsi="Times New Roman"/>
          <w:szCs w:val="24"/>
        </w:rPr>
        <w:t xml:space="preserve"> (MARTINS, 2005). Apesar da evolução do quadro ser variável de paciente para paciente, o resultado final da Doença Renal Crônica é um conjunto de sinais e sintomas comuns, decorrentes da incapacidade dos rins de manter a hemostasia interna (RIELLA; PECOITS-FILHO, 2003).</w:t>
      </w:r>
    </w:p>
    <w:p w:rsidR="00B206A4" w:rsidRPr="00DC3FF0" w:rsidRDefault="00B206A4" w:rsidP="00076677">
      <w:pPr>
        <w:pStyle w:val="Body1"/>
        <w:spacing w:line="480" w:lineRule="auto"/>
        <w:ind w:firstLine="357"/>
        <w:jc w:val="both"/>
        <w:rPr>
          <w:rFonts w:ascii="Times New Roman" w:hAnsi="Times New Roman"/>
          <w:szCs w:val="24"/>
        </w:rPr>
      </w:pPr>
      <w:r w:rsidRPr="00DC3FF0">
        <w:rPr>
          <w:rFonts w:ascii="Times New Roman" w:hAnsi="Times New Roman"/>
          <w:szCs w:val="24"/>
        </w:rPr>
        <w:t>No Brasil, a DRC tem como causas primárias mais prevalentes a hipertensão arterial (35%) e diabetes (27%). As principais causas de morte são, em primeiro lugar, as doenças cardiovasculares (35%), seguidas de doenças infecciosas (24%), cerebrovasculares (9%), neoplasias (7%), outros (16%) e causas desconhecidas (8%) (</w:t>
      </w:r>
      <w:r w:rsidRPr="00DC3FF0">
        <w:rPr>
          <w:rFonts w:ascii="Times New Roman" w:hAnsi="Times New Roman"/>
          <w:color w:val="231F20"/>
          <w:szCs w:val="24"/>
        </w:rPr>
        <w:t>SESSO et al., 2010)</w:t>
      </w:r>
      <w:r w:rsidRPr="00DC3FF0">
        <w:rPr>
          <w:rFonts w:ascii="Times New Roman" w:hAnsi="Times New Roman"/>
          <w:szCs w:val="24"/>
        </w:rPr>
        <w:t xml:space="preserve"> </w:t>
      </w:r>
    </w:p>
    <w:p w:rsidR="00B206A4" w:rsidRPr="00DC3FF0" w:rsidRDefault="00B206A4" w:rsidP="00076677">
      <w:pPr>
        <w:pStyle w:val="Body1"/>
        <w:spacing w:line="480" w:lineRule="auto"/>
        <w:ind w:firstLine="357"/>
        <w:jc w:val="both"/>
        <w:rPr>
          <w:rFonts w:ascii="Times New Roman" w:hAnsi="Times New Roman"/>
          <w:szCs w:val="24"/>
        </w:rPr>
      </w:pPr>
      <w:r w:rsidRPr="00DC3FF0">
        <w:rPr>
          <w:rFonts w:ascii="Times New Roman" w:hAnsi="Times New Roman"/>
          <w:szCs w:val="24"/>
        </w:rPr>
        <w:t>Por ser geralmente uma afecção de curso insidioso, o doente procura atendimento médico quando já apresenta redução significativa da função renal,  resultando em sinais e sintomas potencialmente graves (MARTINS, 2005).</w:t>
      </w:r>
    </w:p>
    <w:p w:rsidR="00B206A4" w:rsidRPr="00DC3FF0" w:rsidRDefault="00B206A4" w:rsidP="00076677">
      <w:pPr>
        <w:pStyle w:val="Body1"/>
        <w:spacing w:line="480" w:lineRule="auto"/>
        <w:ind w:firstLine="357"/>
        <w:jc w:val="both"/>
        <w:rPr>
          <w:rFonts w:ascii="Times New Roman" w:hAnsi="Times New Roman"/>
          <w:szCs w:val="24"/>
        </w:rPr>
      </w:pPr>
      <w:r w:rsidRPr="00DC3FF0">
        <w:rPr>
          <w:rFonts w:ascii="Times New Roman" w:hAnsi="Times New Roman"/>
          <w:szCs w:val="24"/>
        </w:rPr>
        <w:t xml:space="preserve">O tratamento para DRC é realizado com controle da doença de base, terapia nutricional e terapia renal substitutiva (hemodiálise, diálise peritoneal ou transplante renal). No Brasil, a maioria dos pacientes encontra-se em tratamento </w:t>
      </w:r>
      <w:proofErr w:type="spellStart"/>
      <w:r w:rsidRPr="00DC3FF0">
        <w:rPr>
          <w:rFonts w:ascii="Times New Roman" w:hAnsi="Times New Roman"/>
          <w:szCs w:val="24"/>
        </w:rPr>
        <w:t>hemodialítico</w:t>
      </w:r>
      <w:proofErr w:type="spellEnd"/>
      <w:r w:rsidRPr="00DC3FF0">
        <w:rPr>
          <w:rFonts w:ascii="Times New Roman" w:hAnsi="Times New Roman"/>
          <w:szCs w:val="24"/>
        </w:rPr>
        <w:t>, uma vez que é o método de mais fácil acesso no nosso meio, o que faz com que a maioria dos pacientes seja direcionada a essa modalidade (AZEVEDO et al., 2009).</w:t>
      </w:r>
    </w:p>
    <w:p w:rsidR="00B206A4" w:rsidRPr="00DC3FF0" w:rsidRDefault="00B206A4" w:rsidP="00076677">
      <w:pPr>
        <w:pStyle w:val="Body1"/>
        <w:spacing w:line="480" w:lineRule="auto"/>
        <w:ind w:firstLine="357"/>
        <w:jc w:val="both"/>
        <w:rPr>
          <w:rFonts w:ascii="Times New Roman" w:hAnsi="Times New Roman"/>
          <w:szCs w:val="24"/>
        </w:rPr>
      </w:pPr>
      <w:r w:rsidRPr="00DC3FF0">
        <w:rPr>
          <w:rFonts w:ascii="Times New Roman" w:hAnsi="Times New Roman"/>
          <w:szCs w:val="24"/>
        </w:rPr>
        <w:t xml:space="preserve">A expectativa de vida dos doentes renais crônicos é menor que a da população geral, o que é explicado pela alta taxa de eventos cardiovasculares e à maior predisposição a infecções e neoplasias (CANZIANI, 2004). O risco de ocorrência de eventos cardiovasculares é de </w:t>
      </w:r>
      <w:smartTag w:uri="urn:schemas-microsoft-com:office:smarttags" w:element="metricconverter">
        <w:smartTagPr>
          <w:attr w:name="ProductID" w:val="20 a"/>
        </w:smartTagPr>
        <w:r w:rsidRPr="00DC3FF0">
          <w:rPr>
            <w:rFonts w:ascii="Times New Roman" w:hAnsi="Times New Roman"/>
            <w:szCs w:val="24"/>
          </w:rPr>
          <w:t>20 a</w:t>
        </w:r>
      </w:smartTag>
      <w:r w:rsidRPr="00DC3FF0">
        <w:rPr>
          <w:rFonts w:ascii="Times New Roman" w:hAnsi="Times New Roman"/>
          <w:szCs w:val="24"/>
        </w:rPr>
        <w:t xml:space="preserve"> 100 vezes maior em pacientes renais crônicos, quando comparados à população geral. E, ainda que o transplante renal seja importante para a redução de tais índices, a mortalidade </w:t>
      </w:r>
      <w:r w:rsidRPr="00DC3FF0">
        <w:rPr>
          <w:rFonts w:ascii="Times New Roman" w:hAnsi="Times New Roman"/>
          <w:szCs w:val="24"/>
        </w:rPr>
        <w:lastRenderedPageBreak/>
        <w:t>cardiovascular continua sendo, em média, dez vezes maior que na população geral (ARANTES, 2008).</w:t>
      </w:r>
    </w:p>
    <w:p w:rsidR="00B206A4" w:rsidRPr="00DC3FF0" w:rsidRDefault="00B206A4" w:rsidP="00076677">
      <w:pPr>
        <w:pStyle w:val="Body1"/>
        <w:spacing w:line="480" w:lineRule="auto"/>
        <w:ind w:firstLine="357"/>
        <w:jc w:val="both"/>
        <w:rPr>
          <w:rFonts w:ascii="Times New Roman" w:hAnsi="Times New Roman"/>
          <w:szCs w:val="24"/>
        </w:rPr>
      </w:pPr>
      <w:r w:rsidRPr="00DC3FF0">
        <w:rPr>
          <w:rFonts w:ascii="Times New Roman" w:hAnsi="Times New Roman"/>
          <w:szCs w:val="24"/>
        </w:rPr>
        <w:t>Vários estudos relataram que a mortalidade de tais pacientes está estreitamente relacionada a fatores como idade, gênero, albumina, índice de eficiência de diálise (</w:t>
      </w:r>
      <w:proofErr w:type="spellStart"/>
      <w:r w:rsidRPr="00DC3FF0">
        <w:rPr>
          <w:rFonts w:ascii="Times New Roman" w:hAnsi="Times New Roman"/>
          <w:szCs w:val="24"/>
        </w:rPr>
        <w:t>Kt</w:t>
      </w:r>
      <w:proofErr w:type="spellEnd"/>
      <w:r w:rsidRPr="00DC3FF0">
        <w:rPr>
          <w:rFonts w:ascii="Times New Roman" w:hAnsi="Times New Roman"/>
          <w:szCs w:val="24"/>
        </w:rPr>
        <w:t>/V), hemoglobina (</w:t>
      </w:r>
      <w:proofErr w:type="spellStart"/>
      <w:r w:rsidRPr="00DC3FF0">
        <w:rPr>
          <w:rFonts w:ascii="Times New Roman" w:hAnsi="Times New Roman"/>
          <w:szCs w:val="24"/>
        </w:rPr>
        <w:t>Hb</w:t>
      </w:r>
      <w:proofErr w:type="spellEnd"/>
      <w:r w:rsidRPr="00DC3FF0">
        <w:rPr>
          <w:rFonts w:ascii="Times New Roman" w:hAnsi="Times New Roman"/>
          <w:szCs w:val="24"/>
        </w:rPr>
        <w:t>), produto cálcio x fósforo (</w:t>
      </w:r>
      <w:proofErr w:type="spellStart"/>
      <w:r w:rsidRPr="00DC3FF0">
        <w:rPr>
          <w:rFonts w:ascii="Times New Roman" w:hAnsi="Times New Roman"/>
          <w:szCs w:val="24"/>
        </w:rPr>
        <w:t>CaXP</w:t>
      </w:r>
      <w:proofErr w:type="spellEnd"/>
      <w:r w:rsidRPr="00DC3FF0">
        <w:rPr>
          <w:rFonts w:ascii="Times New Roman" w:hAnsi="Times New Roman"/>
          <w:szCs w:val="24"/>
        </w:rPr>
        <w:t>) e paratormônio (PTH).</w:t>
      </w:r>
    </w:p>
    <w:p w:rsidR="00B206A4" w:rsidRPr="00DC3FF0" w:rsidRDefault="00B206A4" w:rsidP="00076677">
      <w:pPr>
        <w:pStyle w:val="Body1"/>
        <w:spacing w:line="480" w:lineRule="auto"/>
        <w:ind w:firstLine="357"/>
        <w:jc w:val="both"/>
        <w:rPr>
          <w:rFonts w:ascii="Times New Roman" w:hAnsi="Times New Roman"/>
          <w:szCs w:val="24"/>
        </w:rPr>
      </w:pPr>
      <w:r w:rsidRPr="00DC3FF0">
        <w:rPr>
          <w:rFonts w:ascii="Times New Roman" w:hAnsi="Times New Roman"/>
          <w:szCs w:val="24"/>
        </w:rPr>
        <w:t>O modo com que tais fatores se relacionam com a mortalidade dos pacientes pode, entretanto, variar de população para população e de grupo para grupo e a aferição repetida dessas relações é desejável quando se leva em consideração tais variações.</w:t>
      </w:r>
    </w:p>
    <w:p w:rsidR="00B206A4" w:rsidRPr="00DC3FF0" w:rsidRDefault="00B206A4" w:rsidP="00646EB0">
      <w:pPr>
        <w:pStyle w:val="Body1"/>
        <w:spacing w:line="480" w:lineRule="auto"/>
        <w:ind w:firstLine="357"/>
        <w:jc w:val="both"/>
        <w:rPr>
          <w:rFonts w:ascii="Times New Roman" w:hAnsi="Times New Roman"/>
          <w:szCs w:val="24"/>
        </w:rPr>
      </w:pPr>
      <w:r w:rsidRPr="00DC3FF0">
        <w:rPr>
          <w:rFonts w:ascii="Times New Roman" w:hAnsi="Times New Roman"/>
          <w:szCs w:val="24"/>
        </w:rPr>
        <w:t xml:space="preserve">Azevedo </w:t>
      </w:r>
      <w:r w:rsidR="002E60AB">
        <w:rPr>
          <w:rFonts w:ascii="Times New Roman" w:hAnsi="Times New Roman"/>
          <w:szCs w:val="24"/>
        </w:rPr>
        <w:t xml:space="preserve">e outros </w:t>
      </w:r>
      <w:r w:rsidRPr="00DC3FF0">
        <w:rPr>
          <w:rFonts w:ascii="Times New Roman" w:hAnsi="Times New Roman"/>
          <w:szCs w:val="24"/>
        </w:rPr>
        <w:t xml:space="preserve">(2005) realizou, no Centro Pró-Renal de Barbacena, no período de janeiro de </w:t>
      </w:r>
      <w:smartTag w:uri="urn:schemas-microsoft-com:office:smarttags" w:element="metricconverter">
        <w:smartTagPr>
          <w:attr w:name="ProductID" w:val="1999 a"/>
        </w:smartTagPr>
        <w:r w:rsidRPr="00DC3FF0">
          <w:rPr>
            <w:rFonts w:ascii="Times New Roman" w:hAnsi="Times New Roman"/>
            <w:szCs w:val="24"/>
          </w:rPr>
          <w:t>1999 a</w:t>
        </w:r>
      </w:smartTag>
      <w:r w:rsidRPr="00DC3FF0">
        <w:rPr>
          <w:rFonts w:ascii="Times New Roman" w:hAnsi="Times New Roman"/>
          <w:szCs w:val="24"/>
        </w:rPr>
        <w:t xml:space="preserve"> julho de 2004, um trabalho no qual se verificou que as principais causas de morte em paciente sob tratamento dialítico são: doenças cardiovasculares (45%), infecções (23,9%) e neoplasias (13%). Em relação ao sexo não foi encontrada diferença significativa na sobrevida. No que se refere às faixas etárias, a taxa de mortalidade mais alta foi observada no grupo acima de 61 anos. No tocante à albumina, os pacientes que iniciaram o tratamento com um nível de albumina baixo (&lt;2,5 g/</w:t>
      </w:r>
      <w:proofErr w:type="spellStart"/>
      <w:r w:rsidRPr="00DC3FF0">
        <w:rPr>
          <w:rFonts w:ascii="Times New Roman" w:hAnsi="Times New Roman"/>
          <w:szCs w:val="24"/>
        </w:rPr>
        <w:t>dL</w:t>
      </w:r>
      <w:proofErr w:type="spellEnd"/>
      <w:r w:rsidRPr="00DC3FF0">
        <w:rPr>
          <w:rFonts w:ascii="Times New Roman" w:hAnsi="Times New Roman"/>
          <w:szCs w:val="24"/>
        </w:rPr>
        <w:t xml:space="preserve">) tiveram sobrevida consideravelmente menor. Considerando o </w:t>
      </w:r>
      <w:proofErr w:type="spellStart"/>
      <w:r w:rsidRPr="00DC3FF0">
        <w:rPr>
          <w:rFonts w:ascii="Times New Roman" w:hAnsi="Times New Roman"/>
          <w:szCs w:val="24"/>
        </w:rPr>
        <w:t>Kt</w:t>
      </w:r>
      <w:proofErr w:type="spellEnd"/>
      <w:r w:rsidRPr="00DC3FF0">
        <w:rPr>
          <w:rFonts w:ascii="Times New Roman" w:hAnsi="Times New Roman"/>
          <w:szCs w:val="24"/>
        </w:rPr>
        <w:t xml:space="preserve">/V, os pacientes que mantiveram índice acima de 1,2 tiveram maior sobrevida. Já em relação à </w:t>
      </w:r>
      <w:proofErr w:type="spellStart"/>
      <w:r w:rsidRPr="00DC3FF0">
        <w:rPr>
          <w:rFonts w:ascii="Times New Roman" w:hAnsi="Times New Roman"/>
          <w:szCs w:val="24"/>
        </w:rPr>
        <w:t>Hb</w:t>
      </w:r>
      <w:proofErr w:type="spellEnd"/>
      <w:r w:rsidRPr="00DC3FF0">
        <w:rPr>
          <w:rFonts w:ascii="Times New Roman" w:hAnsi="Times New Roman"/>
          <w:szCs w:val="24"/>
        </w:rPr>
        <w:t xml:space="preserve">, o grupo que manteve </w:t>
      </w:r>
      <w:proofErr w:type="spellStart"/>
      <w:r w:rsidRPr="00DC3FF0">
        <w:rPr>
          <w:rFonts w:ascii="Times New Roman" w:hAnsi="Times New Roman"/>
          <w:szCs w:val="24"/>
        </w:rPr>
        <w:t>Hb</w:t>
      </w:r>
      <w:proofErr w:type="spellEnd"/>
      <w:r w:rsidRPr="00DC3FF0">
        <w:rPr>
          <w:rFonts w:ascii="Times New Roman" w:hAnsi="Times New Roman"/>
          <w:szCs w:val="24"/>
        </w:rPr>
        <w:t>&lt;10 mg/</w:t>
      </w:r>
      <w:proofErr w:type="spellStart"/>
      <w:r w:rsidRPr="00DC3FF0">
        <w:rPr>
          <w:rFonts w:ascii="Times New Roman" w:hAnsi="Times New Roman"/>
          <w:szCs w:val="24"/>
        </w:rPr>
        <w:t>dL</w:t>
      </w:r>
      <w:proofErr w:type="spellEnd"/>
      <w:r w:rsidRPr="00DC3FF0">
        <w:rPr>
          <w:rFonts w:ascii="Times New Roman" w:hAnsi="Times New Roman"/>
          <w:szCs w:val="24"/>
        </w:rPr>
        <w:t xml:space="preserve"> teve sobrevida de 66% contra 94% do grupo com </w:t>
      </w:r>
      <w:proofErr w:type="spellStart"/>
      <w:r w:rsidRPr="00DC3FF0">
        <w:rPr>
          <w:rFonts w:ascii="Times New Roman" w:hAnsi="Times New Roman"/>
          <w:szCs w:val="24"/>
        </w:rPr>
        <w:t>Hb</w:t>
      </w:r>
      <w:proofErr w:type="spellEnd"/>
      <w:r w:rsidRPr="00DC3FF0">
        <w:rPr>
          <w:rFonts w:ascii="Times New Roman" w:hAnsi="Times New Roman"/>
          <w:szCs w:val="24"/>
        </w:rPr>
        <w:t>&gt;10%. Os pacientes com níveis de PTH entre 300 e 600 mg/</w:t>
      </w:r>
      <w:proofErr w:type="spellStart"/>
      <w:r w:rsidRPr="00DC3FF0">
        <w:rPr>
          <w:rFonts w:ascii="Times New Roman" w:hAnsi="Times New Roman"/>
          <w:szCs w:val="24"/>
        </w:rPr>
        <w:t>dL</w:t>
      </w:r>
      <w:proofErr w:type="spellEnd"/>
      <w:r w:rsidRPr="00DC3FF0">
        <w:rPr>
          <w:rFonts w:ascii="Times New Roman" w:hAnsi="Times New Roman"/>
          <w:szCs w:val="24"/>
        </w:rPr>
        <w:t xml:space="preserve"> tiveram sobrevida semelhante quando comparada à dos pacientes com níveis acima de 600 </w:t>
      </w:r>
      <w:proofErr w:type="spellStart"/>
      <w:r w:rsidRPr="00DC3FF0">
        <w:rPr>
          <w:rFonts w:ascii="Times New Roman" w:hAnsi="Times New Roman"/>
          <w:szCs w:val="24"/>
        </w:rPr>
        <w:t>ng</w:t>
      </w:r>
      <w:proofErr w:type="spellEnd"/>
      <w:r w:rsidRPr="00DC3FF0">
        <w:rPr>
          <w:rFonts w:ascii="Times New Roman" w:hAnsi="Times New Roman"/>
          <w:szCs w:val="24"/>
        </w:rPr>
        <w:t>/</w:t>
      </w:r>
      <w:proofErr w:type="spellStart"/>
      <w:r w:rsidRPr="00DC3FF0">
        <w:rPr>
          <w:rFonts w:ascii="Times New Roman" w:hAnsi="Times New Roman"/>
          <w:szCs w:val="24"/>
        </w:rPr>
        <w:t>dL</w:t>
      </w:r>
      <w:proofErr w:type="spellEnd"/>
      <w:r w:rsidRPr="00DC3FF0">
        <w:rPr>
          <w:rFonts w:ascii="Times New Roman" w:hAnsi="Times New Roman"/>
          <w:szCs w:val="24"/>
        </w:rPr>
        <w:t xml:space="preserve">, sendo que os com níveis abaixo de 300 </w:t>
      </w:r>
      <w:proofErr w:type="spellStart"/>
      <w:r w:rsidRPr="00DC3FF0">
        <w:rPr>
          <w:rFonts w:ascii="Times New Roman" w:hAnsi="Times New Roman"/>
          <w:szCs w:val="24"/>
        </w:rPr>
        <w:t>ng</w:t>
      </w:r>
      <w:proofErr w:type="spellEnd"/>
      <w:r w:rsidRPr="00DC3FF0">
        <w:rPr>
          <w:rFonts w:ascii="Times New Roman" w:hAnsi="Times New Roman"/>
          <w:szCs w:val="24"/>
        </w:rPr>
        <w:t>/</w:t>
      </w:r>
      <w:proofErr w:type="spellStart"/>
      <w:r w:rsidRPr="00DC3FF0">
        <w:rPr>
          <w:rFonts w:ascii="Times New Roman" w:hAnsi="Times New Roman"/>
          <w:szCs w:val="24"/>
        </w:rPr>
        <w:t>dL</w:t>
      </w:r>
      <w:proofErr w:type="spellEnd"/>
      <w:r w:rsidRPr="00DC3FF0">
        <w:rPr>
          <w:rFonts w:ascii="Times New Roman" w:hAnsi="Times New Roman"/>
          <w:szCs w:val="24"/>
        </w:rPr>
        <w:t xml:space="preserve"> tiveram sobrevida significativamente menor. Por último, os pacientes que mantiveram níveis do produto </w:t>
      </w:r>
      <w:proofErr w:type="spellStart"/>
      <w:proofErr w:type="gramStart"/>
      <w:r w:rsidRPr="00DC3FF0">
        <w:rPr>
          <w:rFonts w:ascii="Times New Roman" w:hAnsi="Times New Roman"/>
          <w:szCs w:val="24"/>
        </w:rPr>
        <w:t>CaxP</w:t>
      </w:r>
      <w:proofErr w:type="spellEnd"/>
      <w:proofErr w:type="gramEnd"/>
      <w:r w:rsidRPr="00DC3FF0">
        <w:rPr>
          <w:rFonts w:ascii="Times New Roman" w:hAnsi="Times New Roman"/>
          <w:szCs w:val="24"/>
        </w:rPr>
        <w:t xml:space="preserve"> abaixo de 50 mg/</w:t>
      </w:r>
      <w:proofErr w:type="spellStart"/>
      <w:r w:rsidRPr="00DC3FF0">
        <w:rPr>
          <w:rFonts w:ascii="Times New Roman" w:hAnsi="Times New Roman"/>
          <w:szCs w:val="24"/>
        </w:rPr>
        <w:t>dL</w:t>
      </w:r>
      <w:proofErr w:type="spellEnd"/>
      <w:r w:rsidRPr="00DC3FF0">
        <w:rPr>
          <w:rFonts w:ascii="Times New Roman" w:hAnsi="Times New Roman"/>
          <w:szCs w:val="24"/>
        </w:rPr>
        <w:t xml:space="preserve"> apresentaram menos mortalidade que aqueles com níveis acima desse valor.</w:t>
      </w:r>
      <w:r w:rsidR="00646EB0">
        <w:rPr>
          <w:rFonts w:ascii="Times New Roman" w:hAnsi="Times New Roman"/>
          <w:szCs w:val="24"/>
        </w:rPr>
        <w:t xml:space="preserve"> </w:t>
      </w:r>
      <w:r w:rsidRPr="00DC3FF0">
        <w:rPr>
          <w:rFonts w:ascii="Times New Roman" w:hAnsi="Times New Roman"/>
          <w:szCs w:val="24"/>
        </w:rPr>
        <w:t xml:space="preserve">Em Barbacena, como citado no estudo de Azevedo </w:t>
      </w:r>
      <w:r w:rsidR="00941F26">
        <w:rPr>
          <w:rFonts w:ascii="Times New Roman" w:hAnsi="Times New Roman"/>
          <w:szCs w:val="24"/>
        </w:rPr>
        <w:t>e outros</w:t>
      </w:r>
      <w:r w:rsidRPr="00DC3FF0">
        <w:rPr>
          <w:rFonts w:ascii="Times New Roman" w:hAnsi="Times New Roman"/>
          <w:szCs w:val="24"/>
        </w:rPr>
        <w:t xml:space="preserve"> (2005),</w:t>
      </w:r>
      <w:proofErr w:type="gramStart"/>
      <w:r w:rsidR="002E60AB">
        <w:rPr>
          <w:rFonts w:ascii="Times New Roman" w:hAnsi="Times New Roman"/>
          <w:szCs w:val="24"/>
        </w:rPr>
        <w:t xml:space="preserve"> </w:t>
      </w:r>
      <w:r w:rsidRPr="00DC3FF0">
        <w:rPr>
          <w:rFonts w:ascii="Times New Roman" w:hAnsi="Times New Roman"/>
          <w:szCs w:val="24"/>
        </w:rPr>
        <w:t xml:space="preserve"> </w:t>
      </w:r>
      <w:proofErr w:type="gramEnd"/>
      <w:r w:rsidRPr="00DC3FF0">
        <w:rPr>
          <w:rFonts w:ascii="Times New Roman" w:hAnsi="Times New Roman"/>
          <w:szCs w:val="24"/>
        </w:rPr>
        <w:t xml:space="preserve">há 7 anos foi feito um estudo sobre a sobrevida e os fatores relacionados à mortalidade no Centro Pró-Renal. Porém, o número de </w:t>
      </w:r>
      <w:r w:rsidRPr="00DC3FF0">
        <w:rPr>
          <w:rFonts w:ascii="Times New Roman" w:hAnsi="Times New Roman"/>
          <w:szCs w:val="24"/>
        </w:rPr>
        <w:lastRenderedPageBreak/>
        <w:t>pacientes aumentou e ainda não foi estabelecido um padrão de mortalidade na clínica com um numero maior de variáveis demográficas, clínicas e laboratoriais.</w:t>
      </w:r>
    </w:p>
    <w:p w:rsidR="00B206A4" w:rsidRPr="00DC3FF0" w:rsidRDefault="00B206A4" w:rsidP="00076677">
      <w:pPr>
        <w:pStyle w:val="Body1"/>
        <w:spacing w:line="480" w:lineRule="auto"/>
        <w:ind w:firstLine="357"/>
        <w:jc w:val="both"/>
        <w:rPr>
          <w:rFonts w:ascii="Times New Roman" w:hAnsi="Times New Roman"/>
          <w:szCs w:val="24"/>
        </w:rPr>
      </w:pPr>
      <w:r w:rsidRPr="00DC3FF0">
        <w:rPr>
          <w:rFonts w:ascii="Times New Roman" w:hAnsi="Times New Roman"/>
          <w:szCs w:val="24"/>
        </w:rPr>
        <w:t xml:space="preserve">O objetivo deste estudo é exatamente determinar o padrão de mortalidade de pacientes em hemodiálise no Centro Pró-Renal de Barbacena e determinar a influência das variáveis mencionadas na sobrevida desses pacientes no período de janeiro de </w:t>
      </w:r>
      <w:smartTag w:uri="urn:schemas-microsoft-com:office:smarttags" w:element="metricconverter">
        <w:smartTagPr>
          <w:attr w:name="ProductID" w:val="2006 a"/>
        </w:smartTagPr>
        <w:r w:rsidRPr="00DC3FF0">
          <w:rPr>
            <w:rFonts w:ascii="Times New Roman" w:hAnsi="Times New Roman"/>
            <w:szCs w:val="24"/>
          </w:rPr>
          <w:t>2006 a</w:t>
        </w:r>
      </w:smartTag>
      <w:r w:rsidRPr="00DC3FF0">
        <w:rPr>
          <w:rFonts w:ascii="Times New Roman" w:hAnsi="Times New Roman"/>
          <w:szCs w:val="24"/>
        </w:rPr>
        <w:t xml:space="preserve"> maio de 2012.</w:t>
      </w:r>
    </w:p>
    <w:p w:rsidR="00B206A4" w:rsidRPr="00DC3FF0" w:rsidRDefault="0053170D" w:rsidP="00076677">
      <w:pPr>
        <w:pStyle w:val="PargrafodaLista"/>
        <w:numPr>
          <w:ilvl w:val="0"/>
          <w:numId w:val="8"/>
        </w:numPr>
        <w:spacing w:after="0" w:line="480" w:lineRule="auto"/>
        <w:jc w:val="both"/>
        <w:textAlignment w:val="baseline"/>
        <w:rPr>
          <w:rFonts w:ascii="Times New Roman" w:hAnsi="Times New Roman"/>
          <w:b/>
          <w:color w:val="000000"/>
          <w:sz w:val="24"/>
          <w:szCs w:val="24"/>
        </w:rPr>
      </w:pPr>
      <w:r>
        <w:rPr>
          <w:rFonts w:ascii="Times New Roman" w:hAnsi="Times New Roman"/>
          <w:b/>
          <w:color w:val="000000"/>
          <w:sz w:val="24"/>
          <w:szCs w:val="24"/>
        </w:rPr>
        <w:t>MATERIAL</w:t>
      </w:r>
      <w:bookmarkStart w:id="0" w:name="_GoBack"/>
      <w:bookmarkEnd w:id="0"/>
      <w:r w:rsidR="00B206A4" w:rsidRPr="00DC3FF0">
        <w:rPr>
          <w:rFonts w:ascii="Times New Roman" w:hAnsi="Times New Roman"/>
          <w:b/>
          <w:color w:val="000000"/>
          <w:sz w:val="24"/>
          <w:szCs w:val="24"/>
        </w:rPr>
        <w:t xml:space="preserve"> E M</w:t>
      </w:r>
      <w:r w:rsidR="00941F26">
        <w:rPr>
          <w:rFonts w:ascii="Times New Roman" w:hAnsi="Times New Roman"/>
          <w:b/>
          <w:color w:val="000000"/>
          <w:sz w:val="24"/>
          <w:szCs w:val="24"/>
        </w:rPr>
        <w:t>E</w:t>
      </w:r>
      <w:r w:rsidR="00B206A4" w:rsidRPr="00DC3FF0">
        <w:rPr>
          <w:rFonts w:ascii="Times New Roman" w:hAnsi="Times New Roman"/>
          <w:b/>
          <w:color w:val="000000"/>
          <w:sz w:val="24"/>
          <w:szCs w:val="24"/>
        </w:rPr>
        <w:t xml:space="preserve">TODOS </w:t>
      </w:r>
    </w:p>
    <w:p w:rsidR="00B206A4" w:rsidRPr="00DC3FF0" w:rsidRDefault="00B206A4" w:rsidP="00076677">
      <w:pPr>
        <w:spacing w:after="0" w:line="480" w:lineRule="auto"/>
        <w:jc w:val="both"/>
        <w:rPr>
          <w:rFonts w:ascii="Times New Roman" w:hAnsi="Times New Roman"/>
          <w:sz w:val="24"/>
          <w:szCs w:val="24"/>
          <w:lang w:eastAsia="pt-BR"/>
        </w:rPr>
      </w:pPr>
    </w:p>
    <w:p w:rsidR="00B206A4" w:rsidRPr="00DC3FF0" w:rsidRDefault="00B206A4" w:rsidP="00076677">
      <w:pPr>
        <w:spacing w:after="0" w:line="480" w:lineRule="auto"/>
        <w:ind w:firstLine="357"/>
        <w:jc w:val="both"/>
        <w:rPr>
          <w:rFonts w:ascii="Times New Roman" w:hAnsi="Times New Roman"/>
          <w:sz w:val="24"/>
          <w:szCs w:val="24"/>
          <w:lang w:eastAsia="pt-BR"/>
        </w:rPr>
      </w:pPr>
      <w:r w:rsidRPr="00DC3FF0">
        <w:rPr>
          <w:rFonts w:ascii="Times New Roman" w:hAnsi="Times New Roman"/>
          <w:sz w:val="24"/>
          <w:szCs w:val="24"/>
          <w:lang w:eastAsia="pt-BR"/>
        </w:rPr>
        <w:t xml:space="preserve">O presente trabalho é um estudo de corte transversal, destinado a determinar o padrão de mortalidade de portadores de doença renal crônica, submetidos à hemodiálise frequente, e verificar possíveis relações do padrão de mortalidade com fatores demográficos, clínicos e laboratoriais registrados nos prontuários desse tipo de paciente. O trabalho foi realizado mediante levantamento de informações contidas nos prontuários dos pacientes atendidos no Centro de Hemodiálise de Barbacena Pró-Renal no período entre 01 de janeiro de 2006 e 31 de maio de 2012. </w:t>
      </w:r>
    </w:p>
    <w:p w:rsidR="00B206A4" w:rsidRPr="00DC3FF0" w:rsidRDefault="00B206A4" w:rsidP="00076677">
      <w:pPr>
        <w:spacing w:after="0" w:line="480" w:lineRule="auto"/>
        <w:ind w:firstLine="357"/>
        <w:jc w:val="both"/>
        <w:rPr>
          <w:rFonts w:ascii="Times New Roman" w:hAnsi="Times New Roman"/>
          <w:sz w:val="24"/>
          <w:szCs w:val="24"/>
          <w:lang w:eastAsia="pt-BR"/>
        </w:rPr>
      </w:pPr>
      <w:r w:rsidRPr="00DC3FF0">
        <w:rPr>
          <w:rFonts w:ascii="Times New Roman" w:hAnsi="Times New Roman"/>
          <w:sz w:val="24"/>
          <w:szCs w:val="24"/>
          <w:lang w:eastAsia="pt-BR"/>
        </w:rPr>
        <w:t>O estudo consistiu no exame dos registros dos pacientes atendidos no serviço no período mencionado e na extração de informações relacionadas às variáveis de estudo com objetivo de estabelecer as relações entre a sobrevida e as variáveis em questão.</w:t>
      </w:r>
    </w:p>
    <w:p w:rsidR="00B206A4" w:rsidRPr="00DC3FF0" w:rsidRDefault="00B206A4" w:rsidP="00076677">
      <w:pPr>
        <w:spacing w:after="0" w:line="480" w:lineRule="auto"/>
        <w:ind w:firstLine="357"/>
        <w:jc w:val="both"/>
        <w:rPr>
          <w:rFonts w:ascii="Times New Roman" w:hAnsi="Times New Roman"/>
          <w:sz w:val="24"/>
          <w:szCs w:val="24"/>
          <w:lang w:eastAsia="pt-BR"/>
        </w:rPr>
      </w:pPr>
      <w:r w:rsidRPr="00DC3FF0">
        <w:rPr>
          <w:rFonts w:ascii="Times New Roman" w:hAnsi="Times New Roman"/>
          <w:sz w:val="24"/>
          <w:szCs w:val="24"/>
          <w:lang w:eastAsia="pt-BR"/>
        </w:rPr>
        <w:t xml:space="preserve">As informações do estudo foram retiradas de prontuários eletrônicos do serviço. Foi utilizada a totalidade dos prontuários (277) dos pacientes submetidos à hemodiálise no serviço, no período mencionado. Destes foram excluídos do estudo os pacientes com insuficiência renal aguda, os submetidos à diálise por período inferior a 03 meses e os submetidos à diálise peritoneal, que totalizavam 54 pacientes. Durante o estudo, foram excluídos outros 21 pacientes por não apresentarem dados suficientes de exames em seus prontuários. De tal forma, o estudo foi realizado com uma amostra final de 202 pacientes. </w:t>
      </w:r>
    </w:p>
    <w:p w:rsidR="00B206A4" w:rsidRPr="00DC3FF0" w:rsidRDefault="00B206A4" w:rsidP="00076677">
      <w:pPr>
        <w:spacing w:after="0" w:line="480" w:lineRule="auto"/>
        <w:ind w:firstLine="357"/>
        <w:jc w:val="both"/>
        <w:rPr>
          <w:rFonts w:ascii="Times New Roman" w:hAnsi="Times New Roman"/>
          <w:sz w:val="24"/>
          <w:szCs w:val="24"/>
          <w:lang w:eastAsia="pt-BR"/>
        </w:rPr>
      </w:pPr>
      <w:r w:rsidRPr="00DC3FF0">
        <w:rPr>
          <w:rFonts w:ascii="Times New Roman" w:hAnsi="Times New Roman"/>
          <w:sz w:val="24"/>
          <w:szCs w:val="24"/>
          <w:lang w:eastAsia="pt-BR"/>
        </w:rPr>
        <w:lastRenderedPageBreak/>
        <w:t>O estudo foi aprovado pelo Comitê de Ética em Pesquisa da Universidade Presidente Antônio Carlos sob o número de protocolo 866</w:t>
      </w:r>
      <w:r w:rsidR="00582C79">
        <w:rPr>
          <w:rFonts w:ascii="Times New Roman" w:hAnsi="Times New Roman"/>
          <w:sz w:val="24"/>
          <w:szCs w:val="24"/>
          <w:lang w:eastAsia="pt-BR"/>
        </w:rPr>
        <w:t>/2012</w:t>
      </w:r>
      <w:r w:rsidRPr="00DC3FF0">
        <w:rPr>
          <w:rFonts w:ascii="Times New Roman" w:hAnsi="Times New Roman"/>
          <w:sz w:val="24"/>
          <w:szCs w:val="24"/>
          <w:lang w:eastAsia="pt-BR"/>
        </w:rPr>
        <w:t>.</w:t>
      </w:r>
    </w:p>
    <w:p w:rsidR="00B206A4" w:rsidRPr="00DC3FF0" w:rsidRDefault="00B206A4" w:rsidP="00076677">
      <w:pPr>
        <w:spacing w:after="0" w:line="480" w:lineRule="auto"/>
        <w:ind w:firstLine="357"/>
        <w:jc w:val="both"/>
        <w:rPr>
          <w:rFonts w:ascii="Times New Roman" w:hAnsi="Times New Roman"/>
          <w:sz w:val="24"/>
          <w:szCs w:val="24"/>
          <w:lang w:eastAsia="pt-BR"/>
        </w:rPr>
      </w:pPr>
      <w:r w:rsidRPr="00DC3FF0">
        <w:rPr>
          <w:rFonts w:ascii="Times New Roman" w:hAnsi="Times New Roman"/>
          <w:sz w:val="24"/>
          <w:szCs w:val="24"/>
          <w:lang w:eastAsia="pt-BR"/>
        </w:rPr>
        <w:t>A mortalidade dos pacientes foi determinada pelo cálculo do percentual de óbitos detectados no estudo e as relações da mortalidade com as demais variáveis foram determinadas pela comparação das características dos que faleceram com as características dos sobreviventes. A evolução da mortalidade com o tempo foi determinada pela construção da curva de sobrevida dos participantes do estudo.</w:t>
      </w:r>
    </w:p>
    <w:p w:rsidR="00B206A4" w:rsidRDefault="00B206A4" w:rsidP="00076677">
      <w:pPr>
        <w:spacing w:after="0" w:line="480" w:lineRule="auto"/>
        <w:ind w:firstLine="357"/>
        <w:jc w:val="both"/>
        <w:rPr>
          <w:rFonts w:ascii="Times New Roman" w:hAnsi="Times New Roman"/>
          <w:sz w:val="24"/>
          <w:szCs w:val="24"/>
          <w:lang w:eastAsia="pt-BR"/>
        </w:rPr>
      </w:pPr>
      <w:r w:rsidRPr="00DC3FF0">
        <w:rPr>
          <w:rFonts w:ascii="Times New Roman" w:hAnsi="Times New Roman"/>
          <w:sz w:val="24"/>
          <w:szCs w:val="24"/>
          <w:lang w:eastAsia="pt-BR"/>
        </w:rPr>
        <w:t xml:space="preserve">A análise dos dados foi feita em microcomputador, com recursos de processamento estatístico do “software” (STATA 9.2). Foram construídas as distribuições de frequência e calculadas as médias, desvios padrões e percentagens indicadas para cada variável. Comparações de subgrupos da amostra foram efetuadas em tabelas de contingência tipo </w:t>
      </w:r>
      <w:proofErr w:type="spellStart"/>
      <w:r w:rsidRPr="00DC3FF0">
        <w:rPr>
          <w:rFonts w:ascii="Times New Roman" w:hAnsi="Times New Roman"/>
          <w:sz w:val="24"/>
          <w:szCs w:val="24"/>
          <w:lang w:eastAsia="pt-BR"/>
        </w:rPr>
        <w:t>RxC</w:t>
      </w:r>
      <w:proofErr w:type="spellEnd"/>
      <w:r w:rsidRPr="00DC3FF0">
        <w:rPr>
          <w:rFonts w:ascii="Times New Roman" w:hAnsi="Times New Roman"/>
          <w:sz w:val="24"/>
          <w:szCs w:val="24"/>
          <w:lang w:eastAsia="pt-BR"/>
        </w:rPr>
        <w:t xml:space="preserve"> ou ANOVA. O teste do </w:t>
      </w:r>
      <w:proofErr w:type="spellStart"/>
      <w:r w:rsidRPr="00DC3FF0">
        <w:rPr>
          <w:rFonts w:ascii="Times New Roman" w:hAnsi="Times New Roman"/>
          <w:sz w:val="24"/>
          <w:szCs w:val="24"/>
          <w:lang w:eastAsia="pt-BR"/>
        </w:rPr>
        <w:t>qui-quadrado,o</w:t>
      </w:r>
      <w:proofErr w:type="spellEnd"/>
      <w:r w:rsidRPr="00DC3FF0">
        <w:rPr>
          <w:rFonts w:ascii="Times New Roman" w:hAnsi="Times New Roman"/>
          <w:sz w:val="24"/>
          <w:szCs w:val="24"/>
          <w:lang w:eastAsia="pt-BR"/>
        </w:rPr>
        <w:t xml:space="preserve"> teste exato de Fischer e o teste de Fischer para tabelas de ANOVA foram utilizados na aferição do significado estatístico das diferenças obtidas nas comparações. O nível de significância de 5% foi o adotado para análise.</w:t>
      </w:r>
    </w:p>
    <w:p w:rsidR="00B206A4" w:rsidRPr="00DC3FF0" w:rsidRDefault="00B206A4" w:rsidP="00076677">
      <w:pPr>
        <w:spacing w:after="0" w:line="480" w:lineRule="auto"/>
        <w:ind w:firstLine="357"/>
        <w:jc w:val="both"/>
        <w:rPr>
          <w:rFonts w:ascii="Times New Roman" w:hAnsi="Times New Roman"/>
          <w:sz w:val="24"/>
          <w:szCs w:val="24"/>
          <w:lang w:eastAsia="pt-BR"/>
        </w:rPr>
      </w:pPr>
    </w:p>
    <w:p w:rsidR="00B206A4" w:rsidRPr="00DC3FF0" w:rsidRDefault="00B206A4" w:rsidP="00076677">
      <w:pPr>
        <w:pStyle w:val="PargrafodaLista"/>
        <w:numPr>
          <w:ilvl w:val="0"/>
          <w:numId w:val="8"/>
        </w:numPr>
        <w:spacing w:after="0" w:line="480" w:lineRule="auto"/>
        <w:jc w:val="both"/>
        <w:textAlignment w:val="baseline"/>
        <w:rPr>
          <w:rFonts w:ascii="Times New Roman" w:hAnsi="Times New Roman"/>
          <w:b/>
          <w:color w:val="000000"/>
          <w:sz w:val="24"/>
          <w:szCs w:val="24"/>
        </w:rPr>
      </w:pPr>
      <w:r w:rsidRPr="00DC3FF0">
        <w:rPr>
          <w:rFonts w:ascii="Times New Roman" w:hAnsi="Times New Roman"/>
          <w:b/>
          <w:color w:val="000000"/>
          <w:sz w:val="24"/>
          <w:szCs w:val="24"/>
        </w:rPr>
        <w:t xml:space="preserve">RESULTADOS </w:t>
      </w:r>
    </w:p>
    <w:p w:rsidR="00B206A4" w:rsidRPr="00DC3FF0" w:rsidRDefault="00B206A4" w:rsidP="00076677">
      <w:pPr>
        <w:spacing w:after="0" w:line="480" w:lineRule="auto"/>
        <w:ind w:firstLine="709"/>
        <w:jc w:val="both"/>
        <w:rPr>
          <w:rFonts w:ascii="Times New Roman" w:hAnsi="Times New Roman"/>
          <w:sz w:val="24"/>
          <w:szCs w:val="24"/>
        </w:rPr>
      </w:pPr>
    </w:p>
    <w:p w:rsidR="00B206A4" w:rsidRPr="00DC3FF0" w:rsidRDefault="00B206A4" w:rsidP="00076677">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Foram estudados no presente trabalho os prontuários de 202 pacientes que iniciaram o tratamento dialítico da insuficiência renal crônica (IRC) no ano de 2006 na Pró – Renal de Barbacena – MG. A média da idade dos pacientes é de 57±15,4, sendo que 99 (48,2%) pacientes são do sexo feminino e 103 (50,9%) são do sexo masculino. Cento e trinta e três pacientes (64,8 %) eram casados, 38 (18,5%) eram solteiros e 31 (15,3%) mantinham um estado civil diverso. </w:t>
      </w:r>
    </w:p>
    <w:p w:rsidR="00B206A4" w:rsidRPr="00DC3FF0" w:rsidRDefault="00B206A4" w:rsidP="00076677">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Em se tratando das </w:t>
      </w:r>
      <w:proofErr w:type="spellStart"/>
      <w:r w:rsidRPr="00DC3FF0">
        <w:rPr>
          <w:rFonts w:ascii="Times New Roman" w:hAnsi="Times New Roman"/>
          <w:sz w:val="24"/>
          <w:szCs w:val="24"/>
        </w:rPr>
        <w:t>co-morbidades</w:t>
      </w:r>
      <w:proofErr w:type="spellEnd"/>
      <w:r w:rsidRPr="00DC3FF0">
        <w:rPr>
          <w:rFonts w:ascii="Times New Roman" w:hAnsi="Times New Roman"/>
          <w:sz w:val="24"/>
          <w:szCs w:val="24"/>
        </w:rPr>
        <w:t xml:space="preserve"> que o indivíduo antes de desenvolver IRC há algumas cujas presenças devem ser analisadas, como o diabetes </w:t>
      </w:r>
      <w:proofErr w:type="spellStart"/>
      <w:r w:rsidRPr="00DC3FF0">
        <w:rPr>
          <w:rFonts w:ascii="Times New Roman" w:hAnsi="Times New Roman"/>
          <w:sz w:val="24"/>
          <w:szCs w:val="24"/>
        </w:rPr>
        <w:t>melitus</w:t>
      </w:r>
      <w:proofErr w:type="spellEnd"/>
      <w:r w:rsidRPr="00DC3FF0">
        <w:rPr>
          <w:rFonts w:ascii="Times New Roman" w:hAnsi="Times New Roman"/>
          <w:sz w:val="24"/>
          <w:szCs w:val="24"/>
        </w:rPr>
        <w:t xml:space="preserve"> (DM), a hipertensão arterial </w:t>
      </w:r>
      <w:r w:rsidRPr="00DC3FF0">
        <w:rPr>
          <w:rFonts w:ascii="Times New Roman" w:hAnsi="Times New Roman"/>
          <w:sz w:val="24"/>
          <w:szCs w:val="24"/>
        </w:rPr>
        <w:lastRenderedPageBreak/>
        <w:t>sistêmica (HAS) e cardiopatias no geral. Cento e onze (55,5%) não tinham DM antes do desenvolvimento da IRC, ao passo em que 89 (44,5%) tinham; 53 pacientes (26,7%) não eram hipertensos e 145 (73,2%) eram; 169 pacientes (85,3) não eram cardiopatas, porém 29 (14,6%) eram.</w:t>
      </w:r>
    </w:p>
    <w:p w:rsidR="00B206A4" w:rsidRPr="00DC3FF0" w:rsidRDefault="00B206A4" w:rsidP="00076677">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Dentre as diversas causas para a IRC, a </w:t>
      </w:r>
      <w:proofErr w:type="spellStart"/>
      <w:r w:rsidRPr="00DC3FF0">
        <w:rPr>
          <w:rFonts w:ascii="Times New Roman" w:hAnsi="Times New Roman"/>
          <w:sz w:val="24"/>
          <w:szCs w:val="24"/>
        </w:rPr>
        <w:t>nefropatia</w:t>
      </w:r>
      <w:proofErr w:type="spellEnd"/>
      <w:r w:rsidRPr="00DC3FF0">
        <w:rPr>
          <w:rFonts w:ascii="Times New Roman" w:hAnsi="Times New Roman"/>
          <w:sz w:val="24"/>
          <w:szCs w:val="24"/>
        </w:rPr>
        <w:t xml:space="preserve"> diabética versou como causa em 82 pacientes (40.5%), a </w:t>
      </w:r>
      <w:proofErr w:type="spellStart"/>
      <w:r w:rsidRPr="00DC3FF0">
        <w:rPr>
          <w:rFonts w:ascii="Times New Roman" w:hAnsi="Times New Roman"/>
          <w:sz w:val="24"/>
          <w:szCs w:val="24"/>
        </w:rPr>
        <w:t>nefroesclerose</w:t>
      </w:r>
      <w:proofErr w:type="spellEnd"/>
      <w:r w:rsidRPr="00DC3FF0">
        <w:rPr>
          <w:rFonts w:ascii="Times New Roman" w:hAnsi="Times New Roman"/>
          <w:sz w:val="24"/>
          <w:szCs w:val="24"/>
        </w:rPr>
        <w:t xml:space="preserve"> hipertensiva em 57 pacientes (28.2%) e 63 pacientes (31,1%) tiveram outras causas, como </w:t>
      </w:r>
      <w:proofErr w:type="spellStart"/>
      <w:r w:rsidRPr="00DC3FF0">
        <w:rPr>
          <w:rFonts w:ascii="Times New Roman" w:hAnsi="Times New Roman"/>
          <w:sz w:val="24"/>
          <w:szCs w:val="24"/>
        </w:rPr>
        <w:t>glomerulonefrite</w:t>
      </w:r>
      <w:proofErr w:type="spellEnd"/>
      <w:r w:rsidRPr="00DC3FF0">
        <w:rPr>
          <w:rFonts w:ascii="Times New Roman" w:hAnsi="Times New Roman"/>
          <w:sz w:val="24"/>
          <w:szCs w:val="24"/>
        </w:rPr>
        <w:t xml:space="preserve"> crônica, doença renal policística do adulto, </w:t>
      </w:r>
      <w:proofErr w:type="spellStart"/>
      <w:r w:rsidRPr="00DC3FF0">
        <w:rPr>
          <w:rFonts w:ascii="Times New Roman" w:hAnsi="Times New Roman"/>
          <w:sz w:val="24"/>
          <w:szCs w:val="24"/>
        </w:rPr>
        <w:t>uropatia</w:t>
      </w:r>
      <w:proofErr w:type="spellEnd"/>
      <w:r w:rsidRPr="00DC3FF0">
        <w:rPr>
          <w:rFonts w:ascii="Times New Roman" w:hAnsi="Times New Roman"/>
          <w:sz w:val="24"/>
          <w:szCs w:val="24"/>
        </w:rPr>
        <w:t xml:space="preserve"> obstrutiva crônica e pielonefrite crônica. Em se tratando da situação dos pacientes, foi verificado que 67 (32,7%) faleceram, 119 (58,0%) ainda estavam vivos em 31 de maio de 2012 e 16 (7,9%) não tinham a sua situação conhecida na data mencionada (perdidos ou transferidos do serviço). Dentre os pacientes que faleceram (67), foi verificada qual era a causa de óbito mais frequente, sendo ela as doenças cardiovasculares que resultaram em 21 mortes (31,4%), seguida por outras causas (13 pacientes – 19,4%) e pelas causas infecciosas (10 pacientes – 14,9%).</w:t>
      </w:r>
    </w:p>
    <w:p w:rsidR="00B206A4" w:rsidRPr="00DC3FF0" w:rsidRDefault="00B206A4" w:rsidP="00076677">
      <w:pPr>
        <w:spacing w:after="0" w:line="480" w:lineRule="auto"/>
        <w:ind w:firstLine="360"/>
        <w:jc w:val="both"/>
        <w:rPr>
          <w:rFonts w:ascii="Times New Roman" w:hAnsi="Times New Roman"/>
          <w:sz w:val="24"/>
          <w:szCs w:val="24"/>
        </w:rPr>
      </w:pPr>
      <w:r w:rsidRPr="00DC3FF0">
        <w:rPr>
          <w:rFonts w:ascii="Times New Roman" w:hAnsi="Times New Roman"/>
          <w:sz w:val="24"/>
          <w:szCs w:val="24"/>
        </w:rPr>
        <w:t>Entre os pacientes incluídos no estudo 47 (23,3%) participaram por apenas um ano de estudo, 42 (20,8%) foram acompanhados até dois anos, 31 (15,4%) permaneceram três anos, 37 (18,3%) foram acompanhados por quatro anos, 20 (9,9%) foram acompanhados por cinco anos, 19 (9,4%) foram acompanhados por seis anos e 6 (3,3%) foram acompanhados por seis anos e meio. Quando se leva em conta apenas os pacientes que foram observados durante todo o tempo detectou-se que a taxa de óbito foi igual a 36,0% e a taxa bruta de sobreviventes foi igual a 64,0%.</w:t>
      </w:r>
    </w:p>
    <w:p w:rsidR="00B206A4" w:rsidRPr="00DC3FF0" w:rsidRDefault="00B206A4" w:rsidP="00076677">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Na Tabela 1 são apresentadas as frequências de várias características clínicas e epidemiológicas dos pacientes, discriminadas entre os que faleceram e os que sobreviveram até o final do período de estudo. São apresentados também os resultados dos testes de </w:t>
      </w:r>
      <w:r w:rsidRPr="00DC3FF0">
        <w:rPr>
          <w:rFonts w:ascii="Times New Roman" w:hAnsi="Times New Roman"/>
          <w:sz w:val="24"/>
          <w:szCs w:val="24"/>
        </w:rPr>
        <w:lastRenderedPageBreak/>
        <w:t xml:space="preserve">significância estatística aplicados nas comparações dos percentuais exibidos na tabela, ou seja, os resultados do teste do </w:t>
      </w:r>
      <w:proofErr w:type="spellStart"/>
      <w:r w:rsidRPr="00DC3FF0">
        <w:rPr>
          <w:rFonts w:ascii="Times New Roman" w:hAnsi="Times New Roman"/>
          <w:sz w:val="24"/>
          <w:szCs w:val="24"/>
        </w:rPr>
        <w:t>qui</w:t>
      </w:r>
      <w:proofErr w:type="spellEnd"/>
      <w:r w:rsidRPr="00DC3FF0">
        <w:rPr>
          <w:rFonts w:ascii="Times New Roman" w:hAnsi="Times New Roman"/>
          <w:sz w:val="24"/>
          <w:szCs w:val="24"/>
        </w:rPr>
        <w:t xml:space="preserve">-quadrado ou Fisher e os respectivos valores de P. </w:t>
      </w:r>
    </w:p>
    <w:p w:rsidR="00B206A4" w:rsidRPr="00DC3FF0" w:rsidRDefault="00B206A4" w:rsidP="006F0CF5">
      <w:pPr>
        <w:spacing w:after="0" w:line="360" w:lineRule="auto"/>
        <w:jc w:val="both"/>
        <w:rPr>
          <w:rFonts w:ascii="Times New Roman" w:hAnsi="Times New Roman"/>
          <w:sz w:val="24"/>
          <w:szCs w:val="24"/>
        </w:rPr>
      </w:pPr>
    </w:p>
    <w:p w:rsidR="00B206A4" w:rsidRPr="00DC3FF0" w:rsidRDefault="00B206A4" w:rsidP="00076677">
      <w:pPr>
        <w:spacing w:after="0" w:line="240" w:lineRule="auto"/>
        <w:jc w:val="both"/>
        <w:rPr>
          <w:rFonts w:ascii="Times New Roman" w:hAnsi="Times New Roman"/>
          <w:sz w:val="24"/>
          <w:szCs w:val="24"/>
        </w:rPr>
      </w:pPr>
      <w:r w:rsidRPr="00DC3FF0">
        <w:rPr>
          <w:rFonts w:ascii="Times New Roman" w:hAnsi="Times New Roman"/>
          <w:sz w:val="24"/>
          <w:szCs w:val="24"/>
        </w:rPr>
        <w:t>Tabela 1:Frequências das características clínicas, epidemiológicas e laboratoriais de pacientes portadores de insuficiência renal que sobreviveram ou faleceram entre janeiro de 2006 e maio de 2012, após hemodiálise no serviço.</w:t>
      </w:r>
    </w:p>
    <w:p w:rsidR="00B206A4" w:rsidRPr="00DC3FF0" w:rsidRDefault="00B206A4" w:rsidP="00076677">
      <w:pPr>
        <w:spacing w:after="0" w:line="240" w:lineRule="auto"/>
        <w:jc w:val="both"/>
        <w:rPr>
          <w:rFonts w:ascii="Times New Roman" w:hAnsi="Times New Roman"/>
          <w:sz w:val="24"/>
          <w:szCs w:val="24"/>
        </w:rPr>
      </w:pPr>
    </w:p>
    <w:tbl>
      <w:tblPr>
        <w:tblW w:w="0" w:type="auto"/>
        <w:tblBorders>
          <w:top w:val="single" w:sz="4" w:space="0" w:color="000000"/>
          <w:bottom w:val="single" w:sz="4" w:space="0" w:color="000000"/>
          <w:insideV w:val="single" w:sz="4" w:space="0" w:color="000000"/>
        </w:tblBorders>
        <w:tblLook w:val="00A0" w:firstRow="1" w:lastRow="0" w:firstColumn="1" w:lastColumn="0" w:noHBand="0" w:noVBand="0"/>
      </w:tblPr>
      <w:tblGrid>
        <w:gridCol w:w="3119"/>
        <w:gridCol w:w="907"/>
        <w:gridCol w:w="907"/>
        <w:gridCol w:w="907"/>
        <w:gridCol w:w="907"/>
        <w:gridCol w:w="907"/>
        <w:gridCol w:w="818"/>
      </w:tblGrid>
      <w:tr w:rsidR="00B206A4" w:rsidRPr="00D95FEB" w:rsidTr="0028683C">
        <w:tc>
          <w:tcPr>
            <w:tcW w:w="3119" w:type="dxa"/>
            <w:tcBorders>
              <w:top w:val="single" w:sz="4" w:space="0" w:color="000000"/>
            </w:tcBorders>
          </w:tcPr>
          <w:p w:rsidR="00B206A4" w:rsidRPr="00D95FEB" w:rsidRDefault="00B206A4" w:rsidP="0028683C">
            <w:pPr>
              <w:spacing w:after="0" w:line="240" w:lineRule="auto"/>
              <w:rPr>
                <w:rFonts w:ascii="Times New Roman" w:hAnsi="Times New Roman"/>
                <w:b/>
                <w:sz w:val="24"/>
                <w:szCs w:val="24"/>
              </w:rPr>
            </w:pPr>
            <w:r w:rsidRPr="00D95FEB">
              <w:rPr>
                <w:rFonts w:ascii="Times New Roman" w:hAnsi="Times New Roman"/>
                <w:b/>
                <w:sz w:val="24"/>
                <w:szCs w:val="24"/>
              </w:rPr>
              <w:t>Características Comparadas</w:t>
            </w:r>
          </w:p>
        </w:tc>
        <w:tc>
          <w:tcPr>
            <w:tcW w:w="1814" w:type="dxa"/>
            <w:gridSpan w:val="2"/>
            <w:tcBorders>
              <w:top w:val="single" w:sz="4" w:space="0" w:color="000000"/>
            </w:tcBorders>
            <w:vAlign w:val="center"/>
          </w:tcPr>
          <w:p w:rsidR="00B206A4" w:rsidRPr="00D95FEB" w:rsidRDefault="00B206A4" w:rsidP="0028683C">
            <w:pPr>
              <w:spacing w:after="0" w:line="240" w:lineRule="auto"/>
              <w:jc w:val="center"/>
              <w:rPr>
                <w:rFonts w:ascii="Times New Roman" w:hAnsi="Times New Roman"/>
                <w:b/>
                <w:sz w:val="24"/>
                <w:szCs w:val="24"/>
              </w:rPr>
            </w:pPr>
            <w:r w:rsidRPr="00D95FEB">
              <w:rPr>
                <w:rFonts w:ascii="Times New Roman" w:hAnsi="Times New Roman"/>
                <w:b/>
                <w:sz w:val="24"/>
                <w:szCs w:val="24"/>
              </w:rPr>
              <w:t>Sobrevivente</w:t>
            </w:r>
          </w:p>
        </w:tc>
        <w:tc>
          <w:tcPr>
            <w:tcW w:w="1814" w:type="dxa"/>
            <w:gridSpan w:val="2"/>
            <w:tcBorders>
              <w:top w:val="single" w:sz="4" w:space="0" w:color="000000"/>
            </w:tcBorders>
            <w:vAlign w:val="center"/>
          </w:tcPr>
          <w:p w:rsidR="00B206A4" w:rsidRPr="00D95FEB" w:rsidRDefault="00B206A4" w:rsidP="0028683C">
            <w:pPr>
              <w:spacing w:after="0" w:line="240" w:lineRule="auto"/>
              <w:jc w:val="center"/>
              <w:rPr>
                <w:rFonts w:ascii="Times New Roman" w:hAnsi="Times New Roman"/>
                <w:b/>
                <w:sz w:val="24"/>
                <w:szCs w:val="24"/>
              </w:rPr>
            </w:pPr>
            <w:r w:rsidRPr="00D95FEB">
              <w:rPr>
                <w:rFonts w:ascii="Times New Roman" w:hAnsi="Times New Roman"/>
                <w:b/>
                <w:sz w:val="24"/>
                <w:szCs w:val="24"/>
              </w:rPr>
              <w:t>Falecido</w:t>
            </w:r>
          </w:p>
        </w:tc>
        <w:tc>
          <w:tcPr>
            <w:tcW w:w="907" w:type="dxa"/>
            <w:tcBorders>
              <w:top w:val="single" w:sz="4" w:space="0" w:color="000000"/>
            </w:tcBorders>
            <w:vAlign w:val="center"/>
          </w:tcPr>
          <w:p w:rsidR="00B206A4" w:rsidRPr="00D95FEB" w:rsidRDefault="00B206A4" w:rsidP="0028683C">
            <w:pPr>
              <w:spacing w:after="0" w:line="240" w:lineRule="auto"/>
              <w:jc w:val="right"/>
              <w:rPr>
                <w:rFonts w:ascii="Times New Roman" w:hAnsi="Times New Roman"/>
                <w:b/>
                <w:sz w:val="24"/>
                <w:szCs w:val="24"/>
              </w:rPr>
            </w:pPr>
            <w:r w:rsidRPr="00D95FEB">
              <w:rPr>
                <w:rFonts w:ascii="Times New Roman" w:hAnsi="Times New Roman"/>
                <w:b/>
                <w:sz w:val="24"/>
                <w:szCs w:val="24"/>
              </w:rPr>
              <w:t>X2/F</w:t>
            </w:r>
          </w:p>
        </w:tc>
        <w:tc>
          <w:tcPr>
            <w:tcW w:w="818" w:type="dxa"/>
            <w:tcBorders>
              <w:top w:val="single" w:sz="4" w:space="0" w:color="000000"/>
            </w:tcBorders>
            <w:vAlign w:val="center"/>
          </w:tcPr>
          <w:p w:rsidR="00B206A4" w:rsidRPr="00D95FEB" w:rsidRDefault="00B206A4" w:rsidP="0028683C">
            <w:pPr>
              <w:spacing w:after="0" w:line="240" w:lineRule="auto"/>
              <w:jc w:val="right"/>
              <w:rPr>
                <w:rFonts w:ascii="Times New Roman" w:hAnsi="Times New Roman"/>
                <w:b/>
                <w:sz w:val="24"/>
                <w:szCs w:val="24"/>
              </w:rPr>
            </w:pPr>
            <w:r w:rsidRPr="00D95FEB">
              <w:rPr>
                <w:rFonts w:ascii="Times New Roman" w:hAnsi="Times New Roman"/>
                <w:b/>
                <w:sz w:val="24"/>
                <w:szCs w:val="24"/>
              </w:rPr>
              <w:t>P</w:t>
            </w:r>
          </w:p>
        </w:tc>
      </w:tr>
      <w:tr w:rsidR="00B206A4" w:rsidRPr="00D95FEB" w:rsidTr="0028683C">
        <w:tc>
          <w:tcPr>
            <w:tcW w:w="3119" w:type="dxa"/>
            <w:tcBorders>
              <w:bottom w:val="single" w:sz="4" w:space="0" w:color="000000"/>
            </w:tcBorders>
          </w:tcPr>
          <w:p w:rsidR="00B206A4" w:rsidRPr="00D95FEB" w:rsidRDefault="00B206A4" w:rsidP="0028683C">
            <w:pPr>
              <w:spacing w:after="0" w:line="240" w:lineRule="auto"/>
              <w:rPr>
                <w:rFonts w:ascii="Times New Roman" w:hAnsi="Times New Roman"/>
                <w:b/>
                <w:sz w:val="24"/>
                <w:szCs w:val="24"/>
              </w:rPr>
            </w:pPr>
          </w:p>
        </w:tc>
        <w:tc>
          <w:tcPr>
            <w:tcW w:w="907"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b/>
                <w:sz w:val="24"/>
                <w:szCs w:val="24"/>
              </w:rPr>
            </w:pPr>
            <w:r w:rsidRPr="00D95FEB">
              <w:rPr>
                <w:rFonts w:ascii="Times New Roman" w:hAnsi="Times New Roman"/>
                <w:b/>
                <w:sz w:val="24"/>
                <w:szCs w:val="24"/>
              </w:rPr>
              <w:t>N</w:t>
            </w:r>
          </w:p>
        </w:tc>
        <w:tc>
          <w:tcPr>
            <w:tcW w:w="907"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b/>
                <w:sz w:val="24"/>
                <w:szCs w:val="24"/>
              </w:rPr>
            </w:pPr>
            <w:r w:rsidRPr="00D95FEB">
              <w:rPr>
                <w:rFonts w:ascii="Times New Roman" w:hAnsi="Times New Roman"/>
                <w:b/>
                <w:sz w:val="24"/>
                <w:szCs w:val="24"/>
              </w:rPr>
              <w:t>%</w:t>
            </w:r>
          </w:p>
        </w:tc>
        <w:tc>
          <w:tcPr>
            <w:tcW w:w="907"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b/>
                <w:sz w:val="24"/>
                <w:szCs w:val="24"/>
              </w:rPr>
            </w:pPr>
            <w:r w:rsidRPr="00D95FEB">
              <w:rPr>
                <w:rFonts w:ascii="Times New Roman" w:hAnsi="Times New Roman"/>
                <w:b/>
                <w:sz w:val="24"/>
                <w:szCs w:val="24"/>
              </w:rPr>
              <w:t>N</w:t>
            </w:r>
          </w:p>
        </w:tc>
        <w:tc>
          <w:tcPr>
            <w:tcW w:w="907"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b/>
                <w:sz w:val="24"/>
                <w:szCs w:val="24"/>
              </w:rPr>
            </w:pPr>
            <w:r w:rsidRPr="00D95FEB">
              <w:rPr>
                <w:rFonts w:ascii="Times New Roman" w:hAnsi="Times New Roman"/>
                <w:b/>
                <w:sz w:val="24"/>
                <w:szCs w:val="24"/>
              </w:rPr>
              <w:t>%</w:t>
            </w:r>
          </w:p>
        </w:tc>
        <w:tc>
          <w:tcPr>
            <w:tcW w:w="907"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b/>
                <w:sz w:val="24"/>
                <w:szCs w:val="24"/>
              </w:rPr>
            </w:pPr>
          </w:p>
        </w:tc>
        <w:tc>
          <w:tcPr>
            <w:tcW w:w="818"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b/>
                <w:sz w:val="24"/>
                <w:szCs w:val="24"/>
              </w:rPr>
            </w:pPr>
          </w:p>
        </w:tc>
      </w:tr>
      <w:tr w:rsidR="00B206A4" w:rsidRPr="00D95FEB" w:rsidTr="0028683C">
        <w:tc>
          <w:tcPr>
            <w:tcW w:w="3119" w:type="dxa"/>
            <w:tcBorders>
              <w:top w:val="single" w:sz="4" w:space="0" w:color="000000"/>
              <w:bottom w:val="nil"/>
            </w:tcBorders>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Grupo Etário (Anos)</w:t>
            </w:r>
          </w:p>
        </w:tc>
        <w:tc>
          <w:tcPr>
            <w:tcW w:w="907" w:type="dxa"/>
            <w:tcBorders>
              <w:top w:val="single" w:sz="4" w:space="0" w:color="000000"/>
              <w:bottom w:val="nil"/>
            </w:tcBorders>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tcBorders>
              <w:top w:val="single" w:sz="4" w:space="0" w:color="000000"/>
              <w:bottom w:val="nil"/>
            </w:tcBorders>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tcBorders>
              <w:top w:val="single" w:sz="4" w:space="0" w:color="000000"/>
              <w:bottom w:val="nil"/>
            </w:tcBorders>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tcBorders>
              <w:top w:val="single" w:sz="4" w:space="0" w:color="000000"/>
              <w:bottom w:val="nil"/>
            </w:tcBorders>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tcBorders>
              <w:top w:val="single" w:sz="4" w:space="0" w:color="000000"/>
              <w:bottom w:val="nil"/>
            </w:tcBorders>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tcBorders>
              <w:top w:val="single" w:sz="4" w:space="0" w:color="000000"/>
              <w:bottom w:val="nil"/>
            </w:tcBorders>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Borders>
              <w:top w:val="nil"/>
            </w:tcBorders>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10 – 18</w:t>
            </w:r>
          </w:p>
        </w:tc>
        <w:tc>
          <w:tcPr>
            <w:tcW w:w="907" w:type="dxa"/>
            <w:tcBorders>
              <w:top w:val="nil"/>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w:t>
            </w:r>
          </w:p>
        </w:tc>
        <w:tc>
          <w:tcPr>
            <w:tcW w:w="907" w:type="dxa"/>
            <w:tcBorders>
              <w:top w:val="nil"/>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0,8</w:t>
            </w:r>
          </w:p>
        </w:tc>
        <w:tc>
          <w:tcPr>
            <w:tcW w:w="907" w:type="dxa"/>
            <w:tcBorders>
              <w:top w:val="nil"/>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w:t>
            </w:r>
          </w:p>
        </w:tc>
        <w:tc>
          <w:tcPr>
            <w:tcW w:w="907" w:type="dxa"/>
            <w:tcBorders>
              <w:top w:val="nil"/>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w:t>
            </w:r>
          </w:p>
        </w:tc>
        <w:tc>
          <w:tcPr>
            <w:tcW w:w="907" w:type="dxa"/>
            <w:tcBorders>
              <w:top w:val="nil"/>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12,01</w:t>
            </w:r>
          </w:p>
        </w:tc>
        <w:tc>
          <w:tcPr>
            <w:tcW w:w="818" w:type="dxa"/>
            <w:tcBorders>
              <w:top w:val="nil"/>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0,002</w:t>
            </w: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18 – 60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59,6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34,3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60 – 87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39,5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65,6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Gênero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Feminino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52,1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38,8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3,03</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0,081</w:t>
            </w: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Masculino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48,0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61,2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Profissões</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Aposentado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42,9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45,0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0,50</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0,777</w:t>
            </w: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Lar/</w:t>
            </w:r>
            <w:proofErr w:type="spellStart"/>
            <w:r w:rsidRPr="00D95FEB">
              <w:rPr>
                <w:rFonts w:ascii="Times New Roman" w:hAnsi="Times New Roman"/>
                <w:sz w:val="24"/>
                <w:szCs w:val="24"/>
              </w:rPr>
              <w:t>Domest</w:t>
            </w:r>
            <w:proofErr w:type="spellEnd"/>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23,2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27,5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Outras</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34,0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27,5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Estado Civil</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Casado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64,0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67,2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0,27</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0,874</w:t>
            </w: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Solteiro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18,5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17,9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Outros</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17,6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14,9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Cor</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w:t>
            </w:r>
            <w:proofErr w:type="spellStart"/>
            <w:r w:rsidRPr="00D95FEB">
              <w:rPr>
                <w:rFonts w:ascii="Times New Roman" w:hAnsi="Times New Roman"/>
                <w:sz w:val="24"/>
                <w:szCs w:val="24"/>
              </w:rPr>
              <w:t>Faiodermo</w:t>
            </w:r>
            <w:proofErr w:type="spellEnd"/>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21,2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15,1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2,21</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0,330</w:t>
            </w: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w:t>
            </w:r>
            <w:proofErr w:type="spellStart"/>
            <w:r w:rsidRPr="00D95FEB">
              <w:rPr>
                <w:rFonts w:ascii="Times New Roman" w:hAnsi="Times New Roman"/>
                <w:sz w:val="24"/>
                <w:szCs w:val="24"/>
              </w:rPr>
              <w:t>Leucodermo</w:t>
            </w:r>
            <w:proofErr w:type="spellEnd"/>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61,8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72,7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w:t>
            </w:r>
            <w:proofErr w:type="spellStart"/>
            <w:r w:rsidRPr="00D95FEB">
              <w:rPr>
                <w:rFonts w:ascii="Times New Roman" w:hAnsi="Times New Roman"/>
                <w:sz w:val="24"/>
                <w:szCs w:val="24"/>
              </w:rPr>
              <w:t>Melanodermo</w:t>
            </w:r>
            <w:proofErr w:type="spellEnd"/>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17,0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12,1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Causa da IR</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N Diabética</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38,4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47,8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1,96</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0,375</w:t>
            </w: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N Hipertensiva</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29,0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28,4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Outras</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32,4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23,9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DM</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Não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57,3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47,0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1,83</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0,176</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Sim</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42,6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53,0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HAS</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Não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31,5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16,7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4,81</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0,028</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Sim</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68,4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83,3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Cardiopatia</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Não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87,7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77,3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3,37</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0,066</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Sim</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12,2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22,7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Causa óbito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Cardiovascular</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35,1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35,3</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5,17</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0,522</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Cerebrovascular</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Edema Pulmonar</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10,8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Ignorada</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11,8</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Infecciosa</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16,2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11,8</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lastRenderedPageBreak/>
              <w:t xml:space="preserve">   Neoplasia</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11,8</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Outras</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16,2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29,4</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Albumina g/</w:t>
            </w:r>
            <w:proofErr w:type="spellStart"/>
            <w:r w:rsidRPr="00D95FEB">
              <w:rPr>
                <w:rFonts w:ascii="Times New Roman" w:hAnsi="Times New Roman"/>
                <w:sz w:val="24"/>
                <w:szCs w:val="24"/>
              </w:rPr>
              <w:t>dL</w:t>
            </w:r>
            <w:proofErr w:type="spellEnd"/>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2.0 – &lt;3.5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24,3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40,3</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12,0</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0,002</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3.5 – &lt; 4.5</w:t>
            </w:r>
          </w:p>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4.5 – 7.1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85</w:t>
            </w:r>
          </w:p>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74,0</w:t>
            </w:r>
          </w:p>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34</w:t>
            </w:r>
          </w:p>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50,7</w:t>
            </w:r>
          </w:p>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9,0</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proofErr w:type="spellStart"/>
            <w:r w:rsidRPr="00D95FEB">
              <w:rPr>
                <w:rFonts w:ascii="Times New Roman" w:hAnsi="Times New Roman"/>
                <w:sz w:val="24"/>
                <w:szCs w:val="24"/>
              </w:rPr>
              <w:t>Ferritina</w:t>
            </w:r>
            <w:proofErr w:type="spellEnd"/>
            <w:r w:rsidRPr="00D95FEB">
              <w:rPr>
                <w:rFonts w:ascii="Times New Roman" w:hAnsi="Times New Roman"/>
                <w:sz w:val="24"/>
                <w:szCs w:val="24"/>
              </w:rPr>
              <w:t xml:space="preserve"> </w:t>
            </w:r>
            <w:proofErr w:type="spellStart"/>
            <w:r w:rsidRPr="00D95FEB">
              <w:rPr>
                <w:rFonts w:ascii="Times New Roman" w:hAnsi="Times New Roman"/>
                <w:sz w:val="24"/>
                <w:szCs w:val="24"/>
              </w:rPr>
              <w:t>ng</w:t>
            </w:r>
            <w:proofErr w:type="spellEnd"/>
            <w:r w:rsidRPr="00D95FEB">
              <w:rPr>
                <w:rFonts w:ascii="Times New Roman" w:hAnsi="Times New Roman"/>
                <w:sz w:val="24"/>
                <w:szCs w:val="24"/>
              </w:rPr>
              <w:t>/</w:t>
            </w:r>
            <w:proofErr w:type="spellStart"/>
            <w:r w:rsidRPr="00D95FEB">
              <w:rPr>
                <w:rFonts w:ascii="Times New Roman" w:hAnsi="Times New Roman"/>
                <w:sz w:val="24"/>
                <w:szCs w:val="24"/>
              </w:rPr>
              <w:t>mL</w:t>
            </w:r>
            <w:proofErr w:type="spellEnd"/>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30 – &lt; 200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54,4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63,1</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8,82</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0,012</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200 – &lt; 800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44,7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29,2</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800 – &lt; 15000 </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7,7</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Hemoglobina g/</w:t>
            </w:r>
            <w:proofErr w:type="spellStart"/>
            <w:r w:rsidRPr="00D95FEB">
              <w:rPr>
                <w:rFonts w:ascii="Times New Roman" w:hAnsi="Times New Roman"/>
                <w:sz w:val="24"/>
                <w:szCs w:val="24"/>
              </w:rPr>
              <w:t>dL</w:t>
            </w:r>
            <w:proofErr w:type="spellEnd"/>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2.0 – &lt; 7.0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23,1</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8,71</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0,013</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7.0 – &lt; 12.0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105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89,7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75,4</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12.0 – &lt; 16.0 </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1,5</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Hematócrito%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03.0 - 26.9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47,0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61,5</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3,53</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0,060</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27.0 - 40.0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53,0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38,4</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proofErr w:type="spellStart"/>
            <w:r w:rsidRPr="00D95FEB">
              <w:rPr>
                <w:rFonts w:ascii="Times New Roman" w:hAnsi="Times New Roman"/>
                <w:sz w:val="24"/>
                <w:szCs w:val="24"/>
              </w:rPr>
              <w:t>KtV</w:t>
            </w:r>
            <w:proofErr w:type="spellEnd"/>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0.0 – &lt; 1.0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11,5</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10,8</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0,004</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1.0 –&lt; 1.3 </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15,6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27,9</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1.3 – 4.5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94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81,7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60,7</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Leucócitos</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3500 - &lt;4000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2,0</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3,12</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0,210</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4000 - &lt; 10000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98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86,7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82,0</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10000 -106000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16,0</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PTH </w:t>
            </w:r>
            <w:proofErr w:type="spellStart"/>
            <w:r w:rsidRPr="00D95FEB">
              <w:rPr>
                <w:rFonts w:ascii="Times New Roman" w:hAnsi="Times New Roman"/>
                <w:sz w:val="24"/>
                <w:szCs w:val="24"/>
              </w:rPr>
              <w:t>pg</w:t>
            </w:r>
            <w:proofErr w:type="spellEnd"/>
            <w:r w:rsidRPr="00D95FEB">
              <w:rPr>
                <w:rFonts w:ascii="Times New Roman" w:hAnsi="Times New Roman"/>
                <w:sz w:val="24"/>
                <w:szCs w:val="24"/>
              </w:rPr>
              <w:t>/</w:t>
            </w:r>
            <w:proofErr w:type="spellStart"/>
            <w:r w:rsidRPr="00D95FEB">
              <w:rPr>
                <w:rFonts w:ascii="Times New Roman" w:hAnsi="Times New Roman"/>
                <w:sz w:val="24"/>
                <w:szCs w:val="24"/>
              </w:rPr>
              <w:t>mL</w:t>
            </w:r>
            <w:proofErr w:type="spellEnd"/>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30 - &lt;400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52,2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73,2</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6,83</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0,033</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400 - &lt;800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25,6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14,3</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800 – 4000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22,1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12,5</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Fósforo mg/</w:t>
            </w:r>
            <w:proofErr w:type="spellStart"/>
            <w:r w:rsidRPr="00D95FEB">
              <w:rPr>
                <w:rFonts w:ascii="Times New Roman" w:hAnsi="Times New Roman"/>
                <w:sz w:val="24"/>
                <w:szCs w:val="24"/>
              </w:rPr>
              <w:t>dL</w:t>
            </w:r>
            <w:proofErr w:type="spellEnd"/>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1.7 –&lt; 5.5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70,6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83,6</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5,55</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0,062</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5.5 – &lt; 6.5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22,7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9,0</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6.5 – 10.0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7,5</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Cálcio mg/</w:t>
            </w:r>
            <w:proofErr w:type="spellStart"/>
            <w:r w:rsidRPr="00D95FEB">
              <w:rPr>
                <w:rFonts w:ascii="Times New Roman" w:hAnsi="Times New Roman"/>
                <w:sz w:val="24"/>
                <w:szCs w:val="24"/>
              </w:rPr>
              <w:t>dL</w:t>
            </w:r>
            <w:proofErr w:type="spellEnd"/>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04.5 - &lt;09.5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104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87,4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64,2</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15,6</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0,000</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09.5 - &lt;10.5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11,8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35,8</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10.5 - 11.0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Produto </w:t>
            </w:r>
            <w:proofErr w:type="spellStart"/>
            <w:r w:rsidRPr="00D95FEB">
              <w:rPr>
                <w:rFonts w:ascii="Times New Roman" w:hAnsi="Times New Roman"/>
                <w:sz w:val="24"/>
                <w:szCs w:val="24"/>
              </w:rPr>
              <w:t>CaxP</w:t>
            </w:r>
            <w:proofErr w:type="spellEnd"/>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17.5 –&lt; 55.0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101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84,8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86,6</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0,09</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0,735</w:t>
            </w:r>
          </w:p>
        </w:tc>
      </w:tr>
      <w:tr w:rsidR="00B206A4" w:rsidRPr="00D95FEB" w:rsidTr="0028683C">
        <w:tblPrEx>
          <w:tblBorders>
            <w:top w:val="none" w:sz="0" w:space="0" w:color="auto"/>
          </w:tblBorders>
        </w:tblPrEx>
        <w:tc>
          <w:tcPr>
            <w:tcW w:w="3119" w:type="dxa"/>
            <w:tcBorders>
              <w:bottom w:val="single" w:sz="4" w:space="0" w:color="000000"/>
            </w:tcBorders>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55.0 –78.0</w:t>
            </w:r>
          </w:p>
        </w:tc>
        <w:tc>
          <w:tcPr>
            <w:tcW w:w="907"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18</w:t>
            </w:r>
          </w:p>
        </w:tc>
        <w:tc>
          <w:tcPr>
            <w:tcW w:w="907"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15,1</w:t>
            </w:r>
          </w:p>
        </w:tc>
        <w:tc>
          <w:tcPr>
            <w:tcW w:w="907"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9</w:t>
            </w:r>
          </w:p>
        </w:tc>
        <w:tc>
          <w:tcPr>
            <w:tcW w:w="907"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13,4</w:t>
            </w:r>
          </w:p>
        </w:tc>
        <w:tc>
          <w:tcPr>
            <w:tcW w:w="907" w:type="dxa"/>
            <w:tcBorders>
              <w:bottom w:val="single" w:sz="4" w:space="0" w:color="000000"/>
            </w:tcBorders>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sz w:val="24"/>
                <w:szCs w:val="24"/>
              </w:rPr>
            </w:pPr>
          </w:p>
        </w:tc>
      </w:tr>
    </w:tbl>
    <w:p w:rsidR="00B206A4" w:rsidRPr="00DC3FF0" w:rsidRDefault="00B206A4" w:rsidP="00076677">
      <w:pPr>
        <w:spacing w:line="240" w:lineRule="auto"/>
        <w:rPr>
          <w:rFonts w:ascii="Times New Roman" w:hAnsi="Times New Roman"/>
          <w:sz w:val="24"/>
          <w:szCs w:val="24"/>
        </w:rPr>
      </w:pPr>
      <w:r w:rsidRPr="00DC3FF0">
        <w:rPr>
          <w:rFonts w:ascii="Times New Roman" w:hAnsi="Times New Roman"/>
          <w:sz w:val="24"/>
          <w:szCs w:val="24"/>
        </w:rPr>
        <w:t>Fonte: Os autores (2013)</w:t>
      </w:r>
    </w:p>
    <w:p w:rsidR="00B206A4" w:rsidRPr="00DC3FF0" w:rsidRDefault="00B206A4" w:rsidP="00076677">
      <w:pPr>
        <w:spacing w:line="480" w:lineRule="auto"/>
        <w:rPr>
          <w:rFonts w:ascii="Times New Roman" w:hAnsi="Times New Roman"/>
          <w:sz w:val="24"/>
          <w:szCs w:val="24"/>
        </w:rPr>
      </w:pPr>
      <w:r w:rsidRPr="00DC3FF0">
        <w:rPr>
          <w:rFonts w:ascii="Times New Roman" w:hAnsi="Times New Roman"/>
          <w:sz w:val="24"/>
          <w:szCs w:val="24"/>
        </w:rPr>
        <w:t xml:space="preserve">Na tabela 2 estão apresentados os dados de média e desvio padrão dos exames laboratoriais divididos entre os grupos de sobreviventes e falecidos     </w:t>
      </w:r>
    </w:p>
    <w:p w:rsidR="00B206A4" w:rsidRPr="00DC3FF0" w:rsidRDefault="00B206A4" w:rsidP="00076677">
      <w:pPr>
        <w:spacing w:line="240" w:lineRule="auto"/>
        <w:rPr>
          <w:rFonts w:ascii="Times New Roman" w:hAnsi="Times New Roman"/>
          <w:sz w:val="24"/>
          <w:szCs w:val="24"/>
        </w:rPr>
      </w:pPr>
      <w:r w:rsidRPr="00DC3FF0">
        <w:rPr>
          <w:rFonts w:ascii="Times New Roman" w:hAnsi="Times New Roman"/>
          <w:sz w:val="24"/>
          <w:szCs w:val="24"/>
        </w:rPr>
        <w:t>Tabela2: Média de idade e média das variáveis laboratoriais de pacientes portadores de insuficiência renal que sobreviveram ou faleceram entre janeiro de 2006 e maio de 2012, após hemodiálise no serviço.</w:t>
      </w:r>
    </w:p>
    <w:tbl>
      <w:tblPr>
        <w:tblW w:w="0" w:type="auto"/>
        <w:tblBorders>
          <w:top w:val="single" w:sz="4" w:space="0" w:color="000000"/>
          <w:bottom w:val="single" w:sz="4" w:space="0" w:color="000000"/>
          <w:insideV w:val="single" w:sz="4" w:space="0" w:color="000000"/>
        </w:tblBorders>
        <w:tblLook w:val="00A0" w:firstRow="1" w:lastRow="0" w:firstColumn="1" w:lastColumn="0" w:noHBand="0" w:noVBand="0"/>
      </w:tblPr>
      <w:tblGrid>
        <w:gridCol w:w="2660"/>
        <w:gridCol w:w="2209"/>
        <w:gridCol w:w="2209"/>
        <w:gridCol w:w="2209"/>
      </w:tblGrid>
      <w:tr w:rsidR="00B206A4" w:rsidRPr="00D95FEB" w:rsidTr="007C2529">
        <w:tc>
          <w:tcPr>
            <w:tcW w:w="2660" w:type="dxa"/>
            <w:tcBorders>
              <w:top w:val="single" w:sz="4" w:space="0" w:color="000000"/>
            </w:tcBorders>
          </w:tcPr>
          <w:p w:rsidR="00B206A4" w:rsidRPr="00D95FEB" w:rsidRDefault="00B206A4" w:rsidP="00751EC4">
            <w:pPr>
              <w:spacing w:after="0" w:line="240" w:lineRule="auto"/>
              <w:rPr>
                <w:rFonts w:ascii="Times New Roman" w:hAnsi="Times New Roman"/>
                <w:b/>
                <w:sz w:val="24"/>
                <w:szCs w:val="24"/>
              </w:rPr>
            </w:pPr>
            <w:r w:rsidRPr="00D95FEB">
              <w:rPr>
                <w:rFonts w:ascii="Times New Roman" w:hAnsi="Times New Roman"/>
                <w:b/>
                <w:sz w:val="24"/>
                <w:szCs w:val="24"/>
              </w:rPr>
              <w:lastRenderedPageBreak/>
              <w:t>Variáveis</w:t>
            </w:r>
          </w:p>
        </w:tc>
        <w:tc>
          <w:tcPr>
            <w:tcW w:w="2209" w:type="dxa"/>
            <w:tcBorders>
              <w:top w:val="single" w:sz="4" w:space="0" w:color="000000"/>
            </w:tcBorders>
          </w:tcPr>
          <w:p w:rsidR="00B206A4" w:rsidRPr="00D95FEB" w:rsidRDefault="00B206A4" w:rsidP="00751EC4">
            <w:pPr>
              <w:spacing w:after="0" w:line="240" w:lineRule="auto"/>
              <w:rPr>
                <w:rFonts w:ascii="Times New Roman" w:hAnsi="Times New Roman"/>
                <w:b/>
                <w:sz w:val="24"/>
                <w:szCs w:val="24"/>
              </w:rPr>
            </w:pPr>
            <w:r w:rsidRPr="00D95FEB">
              <w:rPr>
                <w:rFonts w:ascii="Times New Roman" w:hAnsi="Times New Roman"/>
                <w:b/>
                <w:sz w:val="24"/>
                <w:szCs w:val="24"/>
              </w:rPr>
              <w:t xml:space="preserve">Sobrevivente </w:t>
            </w:r>
          </w:p>
        </w:tc>
        <w:tc>
          <w:tcPr>
            <w:tcW w:w="2209" w:type="dxa"/>
            <w:tcBorders>
              <w:top w:val="single" w:sz="4" w:space="0" w:color="000000"/>
            </w:tcBorders>
          </w:tcPr>
          <w:p w:rsidR="00B206A4" w:rsidRPr="00D95FEB" w:rsidRDefault="00B206A4" w:rsidP="00751EC4">
            <w:pPr>
              <w:spacing w:after="0" w:line="240" w:lineRule="auto"/>
              <w:rPr>
                <w:rFonts w:ascii="Times New Roman" w:hAnsi="Times New Roman"/>
                <w:b/>
                <w:sz w:val="24"/>
                <w:szCs w:val="24"/>
              </w:rPr>
            </w:pPr>
            <w:r w:rsidRPr="00D95FEB">
              <w:rPr>
                <w:rFonts w:ascii="Times New Roman" w:hAnsi="Times New Roman"/>
                <w:b/>
                <w:sz w:val="24"/>
                <w:szCs w:val="24"/>
              </w:rPr>
              <w:t>Falecidos</w:t>
            </w:r>
          </w:p>
        </w:tc>
        <w:tc>
          <w:tcPr>
            <w:tcW w:w="2209" w:type="dxa"/>
            <w:tcBorders>
              <w:top w:val="single" w:sz="4" w:space="0" w:color="000000"/>
            </w:tcBorders>
          </w:tcPr>
          <w:p w:rsidR="00B206A4" w:rsidRPr="00D95FEB" w:rsidRDefault="00B206A4" w:rsidP="00751EC4">
            <w:pPr>
              <w:spacing w:after="0" w:line="240" w:lineRule="auto"/>
              <w:rPr>
                <w:rFonts w:ascii="Times New Roman" w:hAnsi="Times New Roman"/>
                <w:b/>
                <w:sz w:val="24"/>
                <w:szCs w:val="24"/>
              </w:rPr>
            </w:pPr>
            <w:r w:rsidRPr="00D95FEB">
              <w:rPr>
                <w:rFonts w:ascii="Times New Roman" w:hAnsi="Times New Roman"/>
                <w:b/>
                <w:sz w:val="24"/>
                <w:szCs w:val="24"/>
              </w:rPr>
              <w:t>P</w:t>
            </w:r>
          </w:p>
        </w:tc>
      </w:tr>
      <w:tr w:rsidR="00B206A4" w:rsidRPr="00D95FEB" w:rsidTr="007C2529">
        <w:tc>
          <w:tcPr>
            <w:tcW w:w="2660" w:type="dxa"/>
            <w:tcBorders>
              <w:bottom w:val="single" w:sz="4" w:space="0" w:color="000000"/>
            </w:tcBorders>
          </w:tcPr>
          <w:p w:rsidR="00B206A4" w:rsidRPr="00D95FEB" w:rsidRDefault="00B206A4" w:rsidP="00751EC4">
            <w:pPr>
              <w:spacing w:after="0" w:line="240" w:lineRule="auto"/>
              <w:rPr>
                <w:rFonts w:ascii="Times New Roman" w:hAnsi="Times New Roman"/>
                <w:b/>
                <w:sz w:val="24"/>
                <w:szCs w:val="24"/>
              </w:rPr>
            </w:pPr>
          </w:p>
        </w:tc>
        <w:tc>
          <w:tcPr>
            <w:tcW w:w="2209" w:type="dxa"/>
            <w:tcBorders>
              <w:bottom w:val="single" w:sz="4" w:space="0" w:color="000000"/>
            </w:tcBorders>
          </w:tcPr>
          <w:p w:rsidR="00B206A4" w:rsidRPr="00D95FEB" w:rsidRDefault="00B206A4" w:rsidP="00751EC4">
            <w:pPr>
              <w:spacing w:after="0" w:line="240" w:lineRule="auto"/>
              <w:rPr>
                <w:rFonts w:ascii="Times New Roman" w:hAnsi="Times New Roman"/>
                <w:b/>
                <w:sz w:val="24"/>
                <w:szCs w:val="24"/>
              </w:rPr>
            </w:pPr>
          </w:p>
        </w:tc>
        <w:tc>
          <w:tcPr>
            <w:tcW w:w="2209" w:type="dxa"/>
            <w:tcBorders>
              <w:bottom w:val="single" w:sz="4" w:space="0" w:color="000000"/>
            </w:tcBorders>
          </w:tcPr>
          <w:p w:rsidR="00B206A4" w:rsidRPr="00D95FEB" w:rsidRDefault="00B206A4" w:rsidP="00751EC4">
            <w:pPr>
              <w:spacing w:after="0" w:line="240" w:lineRule="auto"/>
              <w:rPr>
                <w:rFonts w:ascii="Times New Roman" w:hAnsi="Times New Roman"/>
                <w:b/>
                <w:sz w:val="24"/>
                <w:szCs w:val="24"/>
              </w:rPr>
            </w:pPr>
          </w:p>
        </w:tc>
        <w:tc>
          <w:tcPr>
            <w:tcW w:w="2209" w:type="dxa"/>
            <w:tcBorders>
              <w:bottom w:val="single" w:sz="4" w:space="0" w:color="000000"/>
            </w:tcBorders>
          </w:tcPr>
          <w:p w:rsidR="00B206A4" w:rsidRPr="00D95FEB" w:rsidRDefault="00B206A4" w:rsidP="00751EC4">
            <w:pPr>
              <w:spacing w:after="0" w:line="240" w:lineRule="auto"/>
              <w:rPr>
                <w:rFonts w:ascii="Times New Roman" w:hAnsi="Times New Roman"/>
                <w:b/>
                <w:sz w:val="24"/>
                <w:szCs w:val="24"/>
              </w:rPr>
            </w:pPr>
          </w:p>
        </w:tc>
      </w:tr>
      <w:tr w:rsidR="00B206A4" w:rsidRPr="00D95FEB" w:rsidTr="007C2529">
        <w:tc>
          <w:tcPr>
            <w:tcW w:w="2660" w:type="dxa"/>
            <w:tcBorders>
              <w:top w:val="single" w:sz="4" w:space="0" w:color="000000"/>
              <w:bottom w:val="nil"/>
            </w:tcBorders>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Idade (Anos)</w:t>
            </w:r>
          </w:p>
        </w:tc>
        <w:tc>
          <w:tcPr>
            <w:tcW w:w="2209" w:type="dxa"/>
            <w:tcBorders>
              <w:top w:val="single" w:sz="4" w:space="0" w:color="000000"/>
              <w:bottom w:val="nil"/>
            </w:tcBorders>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55,3±15,0</w:t>
            </w:r>
          </w:p>
        </w:tc>
        <w:tc>
          <w:tcPr>
            <w:tcW w:w="2209" w:type="dxa"/>
            <w:tcBorders>
              <w:top w:val="single" w:sz="4" w:space="0" w:color="000000"/>
              <w:bottom w:val="nil"/>
            </w:tcBorders>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64,2±13,0</w:t>
            </w:r>
          </w:p>
        </w:tc>
        <w:tc>
          <w:tcPr>
            <w:tcW w:w="2209" w:type="dxa"/>
            <w:tcBorders>
              <w:top w:val="single" w:sz="4" w:space="0" w:color="000000"/>
              <w:bottom w:val="nil"/>
            </w:tcBorders>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&lt;0,001*</w:t>
            </w:r>
          </w:p>
        </w:tc>
      </w:tr>
      <w:tr w:rsidR="00B206A4" w:rsidRPr="00D95FEB" w:rsidTr="007C2529">
        <w:tblPrEx>
          <w:tblBorders>
            <w:top w:val="none" w:sz="0" w:space="0" w:color="auto"/>
          </w:tblBorders>
        </w:tblPrEx>
        <w:tc>
          <w:tcPr>
            <w:tcW w:w="2660"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Albumina g/</w:t>
            </w:r>
            <w:proofErr w:type="spellStart"/>
            <w:r w:rsidRPr="00D95FEB">
              <w:rPr>
                <w:rFonts w:ascii="Times New Roman" w:hAnsi="Times New Roman"/>
                <w:sz w:val="24"/>
                <w:szCs w:val="24"/>
              </w:rPr>
              <w:t>dL</w:t>
            </w:r>
            <w:proofErr w:type="spellEnd"/>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3,7±0,4</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3,7±0,8</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0,464</w:t>
            </w:r>
          </w:p>
        </w:tc>
      </w:tr>
      <w:tr w:rsidR="00B206A4" w:rsidRPr="00D95FEB" w:rsidTr="007C2529">
        <w:tblPrEx>
          <w:tblBorders>
            <w:top w:val="none" w:sz="0" w:space="0" w:color="auto"/>
          </w:tblBorders>
        </w:tblPrEx>
        <w:tc>
          <w:tcPr>
            <w:tcW w:w="2660" w:type="dxa"/>
          </w:tcPr>
          <w:p w:rsidR="00B206A4" w:rsidRPr="00D95FEB" w:rsidRDefault="00B206A4" w:rsidP="00751EC4">
            <w:pPr>
              <w:spacing w:after="0" w:line="240" w:lineRule="auto"/>
              <w:rPr>
                <w:rFonts w:ascii="Times New Roman" w:hAnsi="Times New Roman"/>
                <w:sz w:val="24"/>
                <w:szCs w:val="24"/>
              </w:rPr>
            </w:pPr>
            <w:proofErr w:type="spellStart"/>
            <w:r w:rsidRPr="00D95FEB">
              <w:rPr>
                <w:rFonts w:ascii="Times New Roman" w:hAnsi="Times New Roman"/>
                <w:sz w:val="24"/>
                <w:szCs w:val="24"/>
              </w:rPr>
              <w:t>Ferritina</w:t>
            </w:r>
            <w:proofErr w:type="spellEnd"/>
            <w:r w:rsidRPr="00D95FEB">
              <w:rPr>
                <w:rFonts w:ascii="Times New Roman" w:hAnsi="Times New Roman"/>
                <w:sz w:val="24"/>
                <w:szCs w:val="24"/>
              </w:rPr>
              <w:t xml:space="preserve"> </w:t>
            </w:r>
            <w:proofErr w:type="spellStart"/>
            <w:r w:rsidRPr="00D95FEB">
              <w:rPr>
                <w:rFonts w:ascii="Times New Roman" w:hAnsi="Times New Roman"/>
                <w:sz w:val="24"/>
                <w:szCs w:val="24"/>
              </w:rPr>
              <w:t>ng</w:t>
            </w:r>
            <w:proofErr w:type="spellEnd"/>
            <w:r w:rsidRPr="00D95FEB">
              <w:rPr>
                <w:rFonts w:ascii="Times New Roman" w:hAnsi="Times New Roman"/>
                <w:sz w:val="24"/>
                <w:szCs w:val="24"/>
              </w:rPr>
              <w:t>/</w:t>
            </w:r>
            <w:proofErr w:type="spellStart"/>
            <w:r w:rsidRPr="00D95FEB">
              <w:rPr>
                <w:rFonts w:ascii="Times New Roman" w:hAnsi="Times New Roman"/>
                <w:sz w:val="24"/>
                <w:szCs w:val="24"/>
              </w:rPr>
              <w:t>mL</w:t>
            </w:r>
            <w:proofErr w:type="spellEnd"/>
          </w:p>
        </w:tc>
        <w:tc>
          <w:tcPr>
            <w:tcW w:w="2209" w:type="dxa"/>
          </w:tcPr>
          <w:p w:rsidR="00B206A4" w:rsidRPr="00D95FEB" w:rsidRDefault="00B206A4" w:rsidP="003B42B4">
            <w:pPr>
              <w:spacing w:after="0" w:line="240" w:lineRule="auto"/>
              <w:rPr>
                <w:rFonts w:ascii="Times New Roman" w:hAnsi="Times New Roman"/>
                <w:sz w:val="24"/>
                <w:szCs w:val="24"/>
              </w:rPr>
            </w:pPr>
            <w:r w:rsidRPr="00D95FEB">
              <w:rPr>
                <w:rFonts w:ascii="Times New Roman" w:hAnsi="Times New Roman"/>
                <w:sz w:val="24"/>
                <w:szCs w:val="24"/>
              </w:rPr>
              <w:t>219,2±160</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264,2±326,3</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0,306</w:t>
            </w:r>
          </w:p>
        </w:tc>
      </w:tr>
      <w:tr w:rsidR="00B206A4" w:rsidRPr="00D95FEB" w:rsidTr="007C2529">
        <w:tblPrEx>
          <w:tblBorders>
            <w:top w:val="none" w:sz="0" w:space="0" w:color="auto"/>
          </w:tblBorders>
        </w:tblPrEx>
        <w:tc>
          <w:tcPr>
            <w:tcW w:w="2660"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Hemoglobina g/</w:t>
            </w:r>
            <w:proofErr w:type="spellStart"/>
            <w:r w:rsidRPr="00D95FEB">
              <w:rPr>
                <w:rFonts w:ascii="Times New Roman" w:hAnsi="Times New Roman"/>
                <w:sz w:val="24"/>
                <w:szCs w:val="24"/>
              </w:rPr>
              <w:t>dL</w:t>
            </w:r>
            <w:proofErr w:type="spellEnd"/>
          </w:p>
        </w:tc>
        <w:tc>
          <w:tcPr>
            <w:tcW w:w="2209" w:type="dxa"/>
          </w:tcPr>
          <w:p w:rsidR="00B206A4" w:rsidRPr="00D95FEB" w:rsidRDefault="00B206A4" w:rsidP="003B42B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 xml:space="preserve">10,1±12,8 </w:t>
            </w:r>
          </w:p>
        </w:tc>
        <w:tc>
          <w:tcPr>
            <w:tcW w:w="2209" w:type="dxa"/>
          </w:tcPr>
          <w:p w:rsidR="00B206A4" w:rsidRPr="00D95FEB" w:rsidRDefault="00B206A4" w:rsidP="00751EC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10,1±18,4</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0,000*</w:t>
            </w:r>
          </w:p>
        </w:tc>
      </w:tr>
      <w:tr w:rsidR="00B206A4" w:rsidRPr="00D95FEB" w:rsidTr="007C2529">
        <w:tblPrEx>
          <w:tblBorders>
            <w:top w:val="none" w:sz="0" w:space="0" w:color="auto"/>
          </w:tblBorders>
        </w:tblPrEx>
        <w:tc>
          <w:tcPr>
            <w:tcW w:w="2660"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Hematócrito %</w:t>
            </w:r>
          </w:p>
        </w:tc>
        <w:tc>
          <w:tcPr>
            <w:tcW w:w="2209" w:type="dxa"/>
          </w:tcPr>
          <w:p w:rsidR="00B206A4" w:rsidRPr="00D95FEB" w:rsidRDefault="00B206A4" w:rsidP="00751EC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27,9±5,0</w:t>
            </w:r>
          </w:p>
        </w:tc>
        <w:tc>
          <w:tcPr>
            <w:tcW w:w="2209" w:type="dxa"/>
          </w:tcPr>
          <w:p w:rsidR="00B206A4" w:rsidRPr="00D95FEB" w:rsidRDefault="00B206A4" w:rsidP="00751EC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24,3±6,0</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&lt;0,001*</w:t>
            </w:r>
          </w:p>
        </w:tc>
      </w:tr>
      <w:tr w:rsidR="00B206A4" w:rsidRPr="00D95FEB" w:rsidTr="007C2529">
        <w:tblPrEx>
          <w:tblBorders>
            <w:top w:val="none" w:sz="0" w:space="0" w:color="auto"/>
          </w:tblBorders>
        </w:tblPrEx>
        <w:tc>
          <w:tcPr>
            <w:tcW w:w="2660" w:type="dxa"/>
          </w:tcPr>
          <w:p w:rsidR="00B206A4" w:rsidRPr="00D95FEB" w:rsidRDefault="00B206A4" w:rsidP="00751EC4">
            <w:pPr>
              <w:spacing w:after="0" w:line="240" w:lineRule="auto"/>
              <w:rPr>
                <w:rFonts w:ascii="Times New Roman" w:hAnsi="Times New Roman"/>
                <w:sz w:val="24"/>
                <w:szCs w:val="24"/>
              </w:rPr>
            </w:pPr>
            <w:proofErr w:type="spellStart"/>
            <w:r w:rsidRPr="00D95FEB">
              <w:rPr>
                <w:rFonts w:ascii="Times New Roman" w:hAnsi="Times New Roman"/>
                <w:sz w:val="24"/>
                <w:szCs w:val="24"/>
              </w:rPr>
              <w:t>KtV</w:t>
            </w:r>
            <w:proofErr w:type="spellEnd"/>
          </w:p>
        </w:tc>
        <w:tc>
          <w:tcPr>
            <w:tcW w:w="2209" w:type="dxa"/>
          </w:tcPr>
          <w:p w:rsidR="00B206A4" w:rsidRPr="00D95FEB" w:rsidRDefault="00B206A4" w:rsidP="00751EC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1,5±0,4</w:t>
            </w:r>
          </w:p>
        </w:tc>
        <w:tc>
          <w:tcPr>
            <w:tcW w:w="2209" w:type="dxa"/>
          </w:tcPr>
          <w:p w:rsidR="00B206A4" w:rsidRPr="00D95FEB" w:rsidRDefault="00B206A4" w:rsidP="00751EC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1,4±0,5</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0,151</w:t>
            </w:r>
          </w:p>
        </w:tc>
      </w:tr>
      <w:tr w:rsidR="00B206A4" w:rsidRPr="00D95FEB" w:rsidTr="007C2529">
        <w:tblPrEx>
          <w:tblBorders>
            <w:top w:val="none" w:sz="0" w:space="0" w:color="auto"/>
          </w:tblBorders>
        </w:tblPrEx>
        <w:tc>
          <w:tcPr>
            <w:tcW w:w="2660"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 xml:space="preserve">Leucócitos por </w:t>
            </w:r>
            <w:proofErr w:type="spellStart"/>
            <w:r w:rsidRPr="00D95FEB">
              <w:rPr>
                <w:rFonts w:ascii="Times New Roman" w:hAnsi="Times New Roman"/>
                <w:sz w:val="24"/>
                <w:szCs w:val="24"/>
              </w:rPr>
              <w:t>mL</w:t>
            </w:r>
            <w:proofErr w:type="spellEnd"/>
          </w:p>
        </w:tc>
        <w:tc>
          <w:tcPr>
            <w:tcW w:w="2209" w:type="dxa"/>
          </w:tcPr>
          <w:p w:rsidR="00B206A4" w:rsidRPr="00D95FEB" w:rsidRDefault="00B206A4" w:rsidP="00751EC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7551±4445</w:t>
            </w:r>
          </w:p>
        </w:tc>
        <w:tc>
          <w:tcPr>
            <w:tcW w:w="2209" w:type="dxa"/>
          </w:tcPr>
          <w:p w:rsidR="00B206A4" w:rsidRPr="00D95FEB" w:rsidRDefault="00B206A4" w:rsidP="00751EC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8099±3075</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0,689</w:t>
            </w:r>
          </w:p>
        </w:tc>
      </w:tr>
      <w:tr w:rsidR="00B206A4" w:rsidRPr="00D95FEB" w:rsidTr="007C2529">
        <w:tblPrEx>
          <w:tblBorders>
            <w:top w:val="none" w:sz="0" w:space="0" w:color="auto"/>
          </w:tblBorders>
        </w:tblPrEx>
        <w:tc>
          <w:tcPr>
            <w:tcW w:w="2660"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PTH</w:t>
            </w:r>
          </w:p>
        </w:tc>
        <w:tc>
          <w:tcPr>
            <w:tcW w:w="2209" w:type="dxa"/>
          </w:tcPr>
          <w:p w:rsidR="00B206A4" w:rsidRPr="00D95FEB" w:rsidRDefault="00B206A4" w:rsidP="00751EC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529,8±488,5</w:t>
            </w:r>
          </w:p>
        </w:tc>
        <w:tc>
          <w:tcPr>
            <w:tcW w:w="2209" w:type="dxa"/>
          </w:tcPr>
          <w:p w:rsidR="00B206A4" w:rsidRPr="00D95FEB" w:rsidRDefault="00B206A4" w:rsidP="00751EC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409,5±612</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0,008*</w:t>
            </w:r>
          </w:p>
        </w:tc>
      </w:tr>
      <w:tr w:rsidR="00B206A4" w:rsidRPr="00D95FEB" w:rsidTr="007C2529">
        <w:tblPrEx>
          <w:tblBorders>
            <w:top w:val="none" w:sz="0" w:space="0" w:color="auto"/>
          </w:tblBorders>
        </w:tblPrEx>
        <w:tc>
          <w:tcPr>
            <w:tcW w:w="2660"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Fósforo mg/</w:t>
            </w:r>
            <w:proofErr w:type="spellStart"/>
            <w:r w:rsidRPr="00D95FEB">
              <w:rPr>
                <w:rFonts w:ascii="Times New Roman" w:hAnsi="Times New Roman"/>
                <w:sz w:val="24"/>
                <w:szCs w:val="24"/>
              </w:rPr>
              <w:t>dL</w:t>
            </w:r>
            <w:proofErr w:type="spellEnd"/>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5,0±1,1</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4,5±1,2</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0,011*</w:t>
            </w:r>
          </w:p>
        </w:tc>
      </w:tr>
      <w:tr w:rsidR="00B206A4" w:rsidRPr="00D95FEB" w:rsidTr="007C2529">
        <w:tblPrEx>
          <w:tblBorders>
            <w:top w:val="none" w:sz="0" w:space="0" w:color="auto"/>
          </w:tblBorders>
        </w:tblPrEx>
        <w:tc>
          <w:tcPr>
            <w:tcW w:w="2660"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Cálcio mg/</w:t>
            </w:r>
            <w:proofErr w:type="spellStart"/>
            <w:r w:rsidRPr="00D95FEB">
              <w:rPr>
                <w:rFonts w:ascii="Times New Roman" w:hAnsi="Times New Roman"/>
                <w:sz w:val="24"/>
                <w:szCs w:val="24"/>
              </w:rPr>
              <w:t>dL</w:t>
            </w:r>
            <w:proofErr w:type="spellEnd"/>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8,8±0.6</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9,0±0,9</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0,011*</w:t>
            </w:r>
          </w:p>
        </w:tc>
      </w:tr>
      <w:tr w:rsidR="00B206A4" w:rsidRPr="00D95FEB" w:rsidTr="007C2529">
        <w:tblPrEx>
          <w:tblBorders>
            <w:top w:val="none" w:sz="0" w:space="0" w:color="auto"/>
          </w:tblBorders>
        </w:tblPrEx>
        <w:tc>
          <w:tcPr>
            <w:tcW w:w="2660" w:type="dxa"/>
            <w:tcBorders>
              <w:bottom w:val="single" w:sz="4" w:space="0" w:color="000000"/>
            </w:tcBorders>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 xml:space="preserve">Produto </w:t>
            </w:r>
            <w:proofErr w:type="spellStart"/>
            <w:r w:rsidRPr="00D95FEB">
              <w:rPr>
                <w:rFonts w:ascii="Times New Roman" w:hAnsi="Times New Roman"/>
                <w:sz w:val="24"/>
                <w:szCs w:val="24"/>
              </w:rPr>
              <w:t>CaxP</w:t>
            </w:r>
            <w:proofErr w:type="spellEnd"/>
          </w:p>
        </w:tc>
        <w:tc>
          <w:tcPr>
            <w:tcW w:w="2209" w:type="dxa"/>
            <w:tcBorders>
              <w:bottom w:val="single" w:sz="4" w:space="0" w:color="000000"/>
            </w:tcBorders>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4,8±10,2</w:t>
            </w:r>
          </w:p>
        </w:tc>
        <w:tc>
          <w:tcPr>
            <w:tcW w:w="2209" w:type="dxa"/>
            <w:tcBorders>
              <w:bottom w:val="single" w:sz="4" w:space="0" w:color="000000"/>
            </w:tcBorders>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42±11,3</w:t>
            </w:r>
          </w:p>
        </w:tc>
        <w:tc>
          <w:tcPr>
            <w:tcW w:w="2209" w:type="dxa"/>
            <w:tcBorders>
              <w:bottom w:val="single" w:sz="4" w:space="0" w:color="000000"/>
            </w:tcBorders>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0,090</w:t>
            </w:r>
          </w:p>
        </w:tc>
      </w:tr>
    </w:tbl>
    <w:p w:rsidR="00B206A4" w:rsidRPr="00DC3FF0" w:rsidRDefault="00B206A4" w:rsidP="00076677">
      <w:pPr>
        <w:spacing w:after="0" w:line="240" w:lineRule="auto"/>
        <w:jc w:val="both"/>
        <w:rPr>
          <w:rFonts w:ascii="Times New Roman" w:hAnsi="Times New Roman"/>
          <w:sz w:val="24"/>
          <w:szCs w:val="24"/>
        </w:rPr>
      </w:pPr>
      <w:r w:rsidRPr="00DC3FF0">
        <w:rPr>
          <w:rFonts w:ascii="Times New Roman" w:hAnsi="Times New Roman"/>
          <w:sz w:val="24"/>
          <w:szCs w:val="24"/>
        </w:rPr>
        <w:t xml:space="preserve">*p&lt;0,05 utilizando-se os testes de Fisher e de </w:t>
      </w:r>
      <w:proofErr w:type="spellStart"/>
      <w:r w:rsidRPr="00DC3FF0">
        <w:rPr>
          <w:rFonts w:ascii="Times New Roman" w:hAnsi="Times New Roman"/>
          <w:sz w:val="24"/>
          <w:szCs w:val="24"/>
        </w:rPr>
        <w:t>Kruskal</w:t>
      </w:r>
      <w:proofErr w:type="spellEnd"/>
      <w:r w:rsidRPr="00DC3FF0">
        <w:rPr>
          <w:rFonts w:ascii="Times New Roman" w:hAnsi="Times New Roman"/>
          <w:sz w:val="24"/>
          <w:szCs w:val="24"/>
        </w:rPr>
        <w:t xml:space="preserve"> Wallis.</w:t>
      </w:r>
    </w:p>
    <w:p w:rsidR="00B206A4" w:rsidRPr="00DC3FF0" w:rsidRDefault="00B206A4" w:rsidP="00076677">
      <w:pPr>
        <w:spacing w:after="0" w:line="240" w:lineRule="auto"/>
        <w:jc w:val="both"/>
        <w:rPr>
          <w:rFonts w:ascii="Times New Roman" w:hAnsi="Times New Roman"/>
          <w:sz w:val="24"/>
          <w:szCs w:val="24"/>
        </w:rPr>
      </w:pPr>
      <w:r w:rsidRPr="00DC3FF0">
        <w:rPr>
          <w:rFonts w:ascii="Times New Roman" w:hAnsi="Times New Roman"/>
          <w:sz w:val="24"/>
          <w:szCs w:val="24"/>
        </w:rPr>
        <w:t>Fonte: Os autores (2013)</w:t>
      </w:r>
    </w:p>
    <w:p w:rsidR="00B206A4" w:rsidRPr="00DC3FF0" w:rsidRDefault="00B206A4" w:rsidP="006F0CF5">
      <w:pPr>
        <w:spacing w:after="0" w:line="360" w:lineRule="auto"/>
        <w:jc w:val="both"/>
        <w:rPr>
          <w:rFonts w:ascii="Times New Roman" w:hAnsi="Times New Roman"/>
          <w:sz w:val="24"/>
          <w:szCs w:val="24"/>
        </w:rPr>
      </w:pPr>
    </w:p>
    <w:p w:rsidR="00B206A4" w:rsidRPr="00DC3FF0" w:rsidRDefault="00D70E34" w:rsidP="00076677">
      <w:pPr>
        <w:spacing w:after="0" w:line="480" w:lineRule="auto"/>
        <w:jc w:val="both"/>
        <w:rPr>
          <w:rFonts w:ascii="Times New Roman" w:hAnsi="Times New Roman"/>
          <w:sz w:val="24"/>
          <w:szCs w:val="24"/>
        </w:rPr>
      </w:pPr>
      <w:r>
        <w:rPr>
          <w:rFonts w:ascii="Times New Roman" w:hAnsi="Times New Roman"/>
          <w:sz w:val="24"/>
          <w:szCs w:val="24"/>
        </w:rPr>
        <w:t xml:space="preserve">      No gráfico</w:t>
      </w:r>
      <w:r w:rsidR="00B206A4" w:rsidRPr="00DC3FF0">
        <w:rPr>
          <w:rFonts w:ascii="Times New Roman" w:hAnsi="Times New Roman"/>
          <w:sz w:val="24"/>
          <w:szCs w:val="24"/>
        </w:rPr>
        <w:t xml:space="preserve"> 01 é apresentada a curva de sobrevida dos pacientes da clínica que foram acompanhados no período de estudo com os respectivos limites superiores e inferiores de confiança em 95%.</w:t>
      </w:r>
    </w:p>
    <w:p w:rsidR="00D70E34" w:rsidRDefault="00D70E34" w:rsidP="00FE2036">
      <w:pPr>
        <w:spacing w:after="0" w:line="360" w:lineRule="auto"/>
        <w:jc w:val="both"/>
        <w:rPr>
          <w:rFonts w:ascii="Times New Roman" w:hAnsi="Times New Roman"/>
          <w:sz w:val="24"/>
          <w:szCs w:val="24"/>
        </w:rPr>
      </w:pPr>
    </w:p>
    <w:p w:rsidR="00B206A4" w:rsidRPr="00DC3FF0" w:rsidRDefault="00D70E34" w:rsidP="00FE2036">
      <w:pPr>
        <w:spacing w:after="0" w:line="360" w:lineRule="auto"/>
        <w:jc w:val="both"/>
        <w:rPr>
          <w:rFonts w:ascii="Times New Roman" w:hAnsi="Times New Roman"/>
          <w:sz w:val="24"/>
          <w:szCs w:val="24"/>
        </w:rPr>
      </w:pPr>
      <w:r>
        <w:rPr>
          <w:rFonts w:ascii="Times New Roman" w:hAnsi="Times New Roman"/>
          <w:sz w:val="24"/>
          <w:szCs w:val="24"/>
        </w:rPr>
        <w:t>Gráfico</w:t>
      </w:r>
      <w:r w:rsidRPr="00DC3FF0">
        <w:rPr>
          <w:rFonts w:ascii="Times New Roman" w:hAnsi="Times New Roman"/>
          <w:sz w:val="24"/>
          <w:szCs w:val="24"/>
        </w:rPr>
        <w:t xml:space="preserve"> </w:t>
      </w:r>
      <w:r w:rsidRPr="00DC3FF0">
        <w:rPr>
          <w:rFonts w:ascii="Times New Roman" w:hAnsi="Times New Roman"/>
          <w:sz w:val="24"/>
          <w:szCs w:val="24"/>
        </w:rPr>
        <w:fldChar w:fldCharType="begin"/>
      </w:r>
      <w:r w:rsidRPr="00DC3FF0">
        <w:rPr>
          <w:rFonts w:ascii="Times New Roman" w:hAnsi="Times New Roman"/>
          <w:sz w:val="24"/>
          <w:szCs w:val="24"/>
        </w:rPr>
        <w:instrText xml:space="preserve"> SEQ Figura \* ARABIC </w:instrText>
      </w:r>
      <w:r w:rsidRPr="00DC3FF0">
        <w:rPr>
          <w:rFonts w:ascii="Times New Roman" w:hAnsi="Times New Roman"/>
          <w:sz w:val="24"/>
          <w:szCs w:val="24"/>
        </w:rPr>
        <w:fldChar w:fldCharType="separate"/>
      </w:r>
      <w:r w:rsidRPr="00DC3FF0">
        <w:rPr>
          <w:rFonts w:ascii="Times New Roman" w:hAnsi="Times New Roman"/>
          <w:noProof/>
          <w:sz w:val="24"/>
          <w:szCs w:val="24"/>
        </w:rPr>
        <w:t>1</w:t>
      </w:r>
      <w:r w:rsidRPr="00DC3FF0">
        <w:rPr>
          <w:rFonts w:ascii="Times New Roman" w:hAnsi="Times New Roman"/>
          <w:sz w:val="24"/>
          <w:szCs w:val="24"/>
        </w:rPr>
        <w:fldChar w:fldCharType="end"/>
      </w:r>
      <w:r w:rsidRPr="00DC3FF0">
        <w:rPr>
          <w:rFonts w:ascii="Times New Roman" w:hAnsi="Times New Roman"/>
          <w:sz w:val="24"/>
          <w:szCs w:val="24"/>
        </w:rPr>
        <w:t xml:space="preserve"> - Curva de Sobrevida analisando a Probabilidade Acumulada de Sobrevida (%) x Número de Semestres.</w:t>
      </w:r>
    </w:p>
    <w:p w:rsidR="00B206A4" w:rsidRPr="00DC3FF0" w:rsidRDefault="00FE0D59" w:rsidP="00646EB0">
      <w:pPr>
        <w:spacing w:line="240" w:lineRule="auto"/>
        <w:jc w:val="both"/>
        <w:rPr>
          <w:rFonts w:ascii="Times New Roman" w:hAnsi="Times New Roman"/>
          <w:sz w:val="24"/>
          <w:szCs w:val="24"/>
        </w:rPr>
      </w:pPr>
      <w:r>
        <w:rPr>
          <w:rFonts w:ascii="Times New Roman" w:hAnsi="Times New Roman"/>
          <w:noProof/>
          <w:sz w:val="24"/>
          <w:szCs w:val="24"/>
          <w:lang w:eastAsia="pt-BR"/>
        </w:rPr>
        <w:drawing>
          <wp:inline distT="0" distB="0" distL="0" distR="0" wp14:anchorId="51B84123" wp14:editId="24A7B8B4">
            <wp:extent cx="4572762" cy="2746629"/>
            <wp:effectExtent l="12192" t="6096" r="6096" b="0"/>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206A4" w:rsidRPr="00DC3FF0" w:rsidRDefault="00B206A4" w:rsidP="00E90FE9">
      <w:pPr>
        <w:spacing w:after="0" w:line="240" w:lineRule="auto"/>
        <w:jc w:val="both"/>
        <w:rPr>
          <w:rFonts w:ascii="Times New Roman" w:hAnsi="Times New Roman"/>
          <w:sz w:val="24"/>
          <w:szCs w:val="24"/>
        </w:rPr>
      </w:pPr>
      <w:r w:rsidRPr="00DC3FF0">
        <w:rPr>
          <w:rFonts w:ascii="Times New Roman" w:hAnsi="Times New Roman"/>
          <w:sz w:val="24"/>
          <w:szCs w:val="24"/>
        </w:rPr>
        <w:t>Fonte: Os autores (2013)</w:t>
      </w:r>
    </w:p>
    <w:p w:rsidR="00B206A4" w:rsidRPr="00DC3FF0" w:rsidRDefault="00B206A4" w:rsidP="00FE2036">
      <w:pPr>
        <w:spacing w:after="0" w:line="360" w:lineRule="auto"/>
        <w:jc w:val="both"/>
        <w:rPr>
          <w:rFonts w:ascii="Times New Roman" w:hAnsi="Times New Roman"/>
          <w:sz w:val="24"/>
          <w:szCs w:val="24"/>
        </w:rPr>
      </w:pPr>
    </w:p>
    <w:p w:rsidR="00B206A4" w:rsidRPr="00DC3FF0" w:rsidRDefault="00B206A4" w:rsidP="00E90FE9">
      <w:pPr>
        <w:pStyle w:val="PargrafodaLista"/>
        <w:numPr>
          <w:ilvl w:val="0"/>
          <w:numId w:val="8"/>
        </w:numPr>
        <w:spacing w:after="0" w:line="480" w:lineRule="auto"/>
        <w:jc w:val="both"/>
        <w:textAlignment w:val="baseline"/>
        <w:rPr>
          <w:rFonts w:ascii="Times New Roman" w:hAnsi="Times New Roman"/>
          <w:b/>
          <w:color w:val="000000"/>
          <w:sz w:val="24"/>
          <w:szCs w:val="24"/>
        </w:rPr>
      </w:pPr>
      <w:r w:rsidRPr="00DC3FF0">
        <w:rPr>
          <w:rFonts w:ascii="Times New Roman" w:hAnsi="Times New Roman"/>
          <w:b/>
          <w:color w:val="000000"/>
          <w:sz w:val="24"/>
          <w:szCs w:val="24"/>
        </w:rPr>
        <w:t xml:space="preserve">DISCUSSÃO </w:t>
      </w:r>
    </w:p>
    <w:p w:rsidR="00B206A4" w:rsidRPr="00DC3FF0" w:rsidRDefault="00B206A4" w:rsidP="00E90FE9">
      <w:pPr>
        <w:spacing w:after="0" w:line="480" w:lineRule="auto"/>
        <w:ind w:firstLine="708"/>
        <w:jc w:val="both"/>
        <w:rPr>
          <w:rFonts w:ascii="Times New Roman" w:hAnsi="Times New Roman"/>
          <w:sz w:val="24"/>
          <w:szCs w:val="24"/>
        </w:rPr>
      </w:pP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lastRenderedPageBreak/>
        <w:t xml:space="preserve">Os pacientes investigados se caracterizam por serem pessoas com idade em torno de 60 anos com leve predomínio do sexo feminino, pessoas casadas e </w:t>
      </w:r>
      <w:proofErr w:type="spellStart"/>
      <w:r w:rsidRPr="00DC3FF0">
        <w:rPr>
          <w:rFonts w:ascii="Times New Roman" w:hAnsi="Times New Roman"/>
          <w:sz w:val="24"/>
          <w:szCs w:val="24"/>
        </w:rPr>
        <w:t>faiodermos</w:t>
      </w:r>
      <w:proofErr w:type="spellEnd"/>
      <w:r w:rsidRPr="00DC3FF0">
        <w:rPr>
          <w:rFonts w:ascii="Times New Roman" w:hAnsi="Times New Roman"/>
          <w:sz w:val="24"/>
          <w:szCs w:val="24"/>
        </w:rPr>
        <w:t xml:space="preserve">, sendo que 40% deles eram aposentados. Em relação às </w:t>
      </w:r>
      <w:proofErr w:type="spellStart"/>
      <w:r w:rsidRPr="00DC3FF0">
        <w:rPr>
          <w:rFonts w:ascii="Times New Roman" w:hAnsi="Times New Roman"/>
          <w:sz w:val="24"/>
          <w:szCs w:val="24"/>
        </w:rPr>
        <w:t>co-morbidades</w:t>
      </w:r>
      <w:proofErr w:type="spellEnd"/>
      <w:r w:rsidRPr="00DC3FF0">
        <w:rPr>
          <w:rFonts w:ascii="Times New Roman" w:hAnsi="Times New Roman"/>
          <w:sz w:val="24"/>
          <w:szCs w:val="24"/>
        </w:rPr>
        <w:t xml:space="preserve"> apresentadas pelos pacientes previamente ao desenvolvimento de IRC, verificou-se que a maioria não apresentava Diabetes </w:t>
      </w:r>
      <w:proofErr w:type="spellStart"/>
      <w:r w:rsidRPr="00DC3FF0">
        <w:rPr>
          <w:rFonts w:ascii="Times New Roman" w:hAnsi="Times New Roman"/>
          <w:sz w:val="24"/>
          <w:szCs w:val="24"/>
        </w:rPr>
        <w:t>Melitus</w:t>
      </w:r>
      <w:proofErr w:type="spellEnd"/>
      <w:r w:rsidRPr="00DC3FF0">
        <w:rPr>
          <w:rFonts w:ascii="Times New Roman" w:hAnsi="Times New Roman"/>
          <w:sz w:val="24"/>
          <w:szCs w:val="24"/>
        </w:rPr>
        <w:t xml:space="preserve"> e que uma pequena parte apresentava alguma cardiopatia. Em contrapartida, a maioria dos pacientes apresentavam HAS como doença de base. </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Ao analisar as causas que levaram ao desenvolvimento de IRC nos pacientes do estudo, verificou-se que a maioria ocorreu em consequência de </w:t>
      </w:r>
      <w:proofErr w:type="spellStart"/>
      <w:r w:rsidRPr="00DC3FF0">
        <w:rPr>
          <w:rFonts w:ascii="Times New Roman" w:hAnsi="Times New Roman"/>
          <w:sz w:val="24"/>
          <w:szCs w:val="24"/>
        </w:rPr>
        <w:t>nefropatia</w:t>
      </w:r>
      <w:proofErr w:type="spellEnd"/>
      <w:r w:rsidRPr="00DC3FF0">
        <w:rPr>
          <w:rFonts w:ascii="Times New Roman" w:hAnsi="Times New Roman"/>
          <w:sz w:val="24"/>
          <w:szCs w:val="24"/>
        </w:rPr>
        <w:t xml:space="preserve"> diabética, seguida por </w:t>
      </w:r>
      <w:proofErr w:type="spellStart"/>
      <w:r w:rsidRPr="00DC3FF0">
        <w:rPr>
          <w:rFonts w:ascii="Times New Roman" w:hAnsi="Times New Roman"/>
          <w:sz w:val="24"/>
          <w:szCs w:val="24"/>
        </w:rPr>
        <w:t>nefroesclerose</w:t>
      </w:r>
      <w:proofErr w:type="spellEnd"/>
      <w:r w:rsidRPr="00DC3FF0">
        <w:rPr>
          <w:rFonts w:ascii="Times New Roman" w:hAnsi="Times New Roman"/>
          <w:sz w:val="24"/>
          <w:szCs w:val="24"/>
        </w:rPr>
        <w:t xml:space="preserve"> hipertensiva e, por último, de outras causas, como </w:t>
      </w:r>
      <w:proofErr w:type="spellStart"/>
      <w:r w:rsidRPr="00DC3FF0">
        <w:rPr>
          <w:rFonts w:ascii="Times New Roman" w:hAnsi="Times New Roman"/>
          <w:sz w:val="24"/>
          <w:szCs w:val="24"/>
        </w:rPr>
        <w:t>glomerulonefrite</w:t>
      </w:r>
      <w:proofErr w:type="spellEnd"/>
      <w:r w:rsidRPr="00DC3FF0">
        <w:rPr>
          <w:rFonts w:ascii="Times New Roman" w:hAnsi="Times New Roman"/>
          <w:sz w:val="24"/>
          <w:szCs w:val="24"/>
        </w:rPr>
        <w:t xml:space="preserve"> crônica, doença renal policística do adulto, </w:t>
      </w:r>
      <w:proofErr w:type="spellStart"/>
      <w:r w:rsidRPr="00DC3FF0">
        <w:rPr>
          <w:rFonts w:ascii="Times New Roman" w:hAnsi="Times New Roman"/>
          <w:sz w:val="24"/>
          <w:szCs w:val="24"/>
        </w:rPr>
        <w:t>uropatia</w:t>
      </w:r>
      <w:proofErr w:type="spellEnd"/>
      <w:r w:rsidRPr="00DC3FF0">
        <w:rPr>
          <w:rFonts w:ascii="Times New Roman" w:hAnsi="Times New Roman"/>
          <w:sz w:val="24"/>
          <w:szCs w:val="24"/>
        </w:rPr>
        <w:t xml:space="preserve"> obstrutiva crônica e pielonefrite crônica.</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Em relação às causas de óbito dos pacientes, verificou-se que as doenças cardiovasculares foram as mais prevalentes. A prevalência dos óbitos entre pacientes em hemodiálise na presente série foi de aproximadamente 36%, ou seja, um terço dos pacientes em hemodiálise faleceu em um período de cinco anos e meio de observação.  A literatura encontrada acerca do tema mostra que a mortalidade em pacientes </w:t>
      </w:r>
      <w:proofErr w:type="spellStart"/>
      <w:r w:rsidRPr="00DC3FF0">
        <w:rPr>
          <w:rFonts w:ascii="Times New Roman" w:hAnsi="Times New Roman"/>
          <w:sz w:val="24"/>
          <w:szCs w:val="24"/>
        </w:rPr>
        <w:t>hemodialíticos</w:t>
      </w:r>
      <w:proofErr w:type="spellEnd"/>
      <w:r w:rsidRPr="00DC3FF0">
        <w:rPr>
          <w:rFonts w:ascii="Times New Roman" w:hAnsi="Times New Roman"/>
          <w:sz w:val="24"/>
          <w:szCs w:val="24"/>
        </w:rPr>
        <w:t xml:space="preserve"> é geralmente alta (</w:t>
      </w:r>
      <w:r w:rsidRPr="00DC3FF0">
        <w:rPr>
          <w:rFonts w:ascii="Times New Roman" w:hAnsi="Times New Roman"/>
          <w:color w:val="000000"/>
          <w:sz w:val="24"/>
          <w:szCs w:val="24"/>
          <w:lang w:eastAsia="pt-BR"/>
        </w:rPr>
        <w:t>MIRANDA et al., 2009)</w:t>
      </w:r>
      <w:r w:rsidRPr="00DC3FF0">
        <w:rPr>
          <w:rFonts w:ascii="Times New Roman" w:hAnsi="Times New Roman"/>
          <w:sz w:val="24"/>
          <w:szCs w:val="24"/>
        </w:rPr>
        <w:t xml:space="preserve">, o que corrobora os dados encontrados no presente estudo. Silva </w:t>
      </w:r>
      <w:r w:rsidR="00D94E79">
        <w:rPr>
          <w:rFonts w:ascii="Times New Roman" w:hAnsi="Times New Roman"/>
          <w:sz w:val="24"/>
          <w:szCs w:val="24"/>
        </w:rPr>
        <w:t>e outros</w:t>
      </w:r>
      <w:r w:rsidRPr="00DC3FF0">
        <w:rPr>
          <w:rFonts w:ascii="Times New Roman" w:hAnsi="Times New Roman"/>
          <w:sz w:val="24"/>
          <w:szCs w:val="24"/>
        </w:rPr>
        <w:t xml:space="preserve"> (2009) encontrou uma taxa de mortalidade de 32,5 % em seu estudo envolvendo 1009 pacientes durante 25 anos. Há vários ensaios clínicos que vêm analisar os fatores de risco para uma alta mortalidade, bem como o que leva os pacientes a óbito. Assim como no presente estudo, há, na literatura, dados que mostram que as doenças cardiovasculares são as principais responsáveis pelos óbitos de pacientes em hemodiálise</w:t>
      </w:r>
      <w:r w:rsidRPr="00DC3FF0">
        <w:rPr>
          <w:rFonts w:ascii="Times New Roman" w:hAnsi="Times New Roman"/>
          <w:sz w:val="24"/>
          <w:szCs w:val="24"/>
          <w:lang w:eastAsia="pt-BR"/>
        </w:rPr>
        <w:t xml:space="preserve"> (AJIRO, et al., 2007; </w:t>
      </w:r>
      <w:r w:rsidRPr="00DC3FF0">
        <w:rPr>
          <w:rFonts w:ascii="Times New Roman" w:hAnsi="Times New Roman"/>
          <w:color w:val="000000"/>
          <w:sz w:val="24"/>
          <w:szCs w:val="24"/>
          <w:lang w:eastAsia="pt-BR"/>
        </w:rPr>
        <w:t>MIRANDA et al., 2009</w:t>
      </w:r>
      <w:r w:rsidRPr="00DC3FF0">
        <w:rPr>
          <w:rFonts w:ascii="Times New Roman" w:hAnsi="Times New Roman"/>
          <w:color w:val="000000"/>
          <w:sz w:val="24"/>
          <w:szCs w:val="24"/>
        </w:rPr>
        <w:t>; ALMEIDA</w:t>
      </w:r>
      <w:r w:rsidRPr="00DC3FF0">
        <w:rPr>
          <w:rFonts w:ascii="Times New Roman" w:hAnsi="Times New Roman"/>
          <w:sz w:val="24"/>
          <w:szCs w:val="24"/>
          <w:vertAlign w:val="superscript"/>
        </w:rPr>
        <w:t xml:space="preserve"> </w:t>
      </w:r>
      <w:r w:rsidR="00D94E79">
        <w:rPr>
          <w:rFonts w:ascii="Times New Roman" w:hAnsi="Times New Roman"/>
          <w:sz w:val="24"/>
          <w:szCs w:val="24"/>
        </w:rPr>
        <w:t>et al., 2010). Azevedo e outros</w:t>
      </w:r>
      <w:r w:rsidRPr="00DC3FF0">
        <w:rPr>
          <w:rFonts w:ascii="Times New Roman" w:hAnsi="Times New Roman"/>
          <w:sz w:val="24"/>
          <w:szCs w:val="24"/>
        </w:rPr>
        <w:t xml:space="preserve"> (2009), encontrou em seu estudo dados que corroboram a hipótese descrita, mostrando que as doenças cardiovasculares são a principal causa de óbito, apesar da diferença em relação à segunda causa, que no presente estudo mostra-se serem causas diversas e no estudo descrito serem causas infecciosas. </w:t>
      </w:r>
      <w:r w:rsidRPr="00DC3FF0">
        <w:rPr>
          <w:rFonts w:ascii="Times New Roman" w:hAnsi="Times New Roman"/>
          <w:sz w:val="24"/>
          <w:szCs w:val="24"/>
        </w:rPr>
        <w:lastRenderedPageBreak/>
        <w:t>Acredita-se que a semelhança entre os dados encontrados no presente estudo e na literatura se deve ao fato de que há muitas variáveis envolvidas que influenciam na mortalidade. Até a presente data não foi possível uma redução drástica nos padrões de mortalidade, o que faz com que pacientes com IRC em hemodiálise tenham uma maior mortalidade em comparação com a população geral</w:t>
      </w:r>
      <w:r w:rsidRPr="00DC3FF0">
        <w:rPr>
          <w:rFonts w:ascii="Times New Roman" w:hAnsi="Times New Roman"/>
          <w:color w:val="000000"/>
          <w:sz w:val="24"/>
          <w:szCs w:val="24"/>
        </w:rPr>
        <w:t xml:space="preserve"> (YOUNG</w:t>
      </w:r>
      <w:r w:rsidRPr="00DC3FF0">
        <w:rPr>
          <w:rFonts w:ascii="Times New Roman" w:hAnsi="Times New Roman"/>
          <w:sz w:val="24"/>
          <w:szCs w:val="24"/>
        </w:rPr>
        <w:t xml:space="preserve"> et al., 2010).</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A comparação dos sobreviventes e dos falecidos durante a hemodiálise quanto à idade dos pacientes mostra que os portadores de IRC entre 60 - 87 anos são os mais frequentes entre os falecidos. Mostra também que os pacientes mais jovens são mais frequentes entre os que sobreviveram do que entre os que faleceram. A comparação das idades médias mostra a mesma coisa e confirma a impressão de que os pacientes mais jovens são mais frequentes entre os sobreviventes. Os dois modos de comparar esses dois grupos mostram diferenças na idade que são significativas do ponto de vista estatístico (p = 0,002 e p &lt; 0,001). Pode-se concluir com este resultado que o aumento da idade é fator de risco para o óbito de pacientes em hemodiálise, dado este que é encontrado na literatura (ALMEIDA et al., 2010; AZEVEDO et al., 2009). Tal fato poderia ser explicado por um aumento das </w:t>
      </w:r>
      <w:proofErr w:type="spellStart"/>
      <w:r w:rsidRPr="00DC3FF0">
        <w:rPr>
          <w:rFonts w:ascii="Times New Roman" w:hAnsi="Times New Roman"/>
          <w:sz w:val="24"/>
          <w:szCs w:val="24"/>
        </w:rPr>
        <w:t>co-morbidades</w:t>
      </w:r>
      <w:proofErr w:type="spellEnd"/>
      <w:r w:rsidRPr="00DC3FF0">
        <w:rPr>
          <w:rFonts w:ascii="Times New Roman" w:hAnsi="Times New Roman"/>
          <w:sz w:val="24"/>
          <w:szCs w:val="24"/>
        </w:rPr>
        <w:t xml:space="preserve"> que ocorre com o tempo (MORSCH; GONÇALVES; BARROS, 2005)</w:t>
      </w:r>
      <w:r w:rsidRPr="00DC3FF0">
        <w:rPr>
          <w:rFonts w:ascii="Times New Roman" w:hAnsi="Times New Roman"/>
          <w:bCs/>
          <w:sz w:val="24"/>
          <w:szCs w:val="24"/>
          <w:lang w:eastAsia="pt-BR"/>
        </w:rPr>
        <w:t>, o que poderia gerar fatores de risco mais graves que contribuiriam para um aumento da mortalidade.</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A comparação de pacientes que sobreviveram à hemodiálise com os que faleceram, quanto à frequência da HAS, mostra que a HAS é mais frequente entre os que faleceram do que entre os que sobreviveram. A diferença entre os dois grupos é significativa neste quesito (p = 0,022). Com este resultado pode-se concluir que a HAS está relacionada ao risco de falecer, dado este encontrado na literatura (BARBOSA et al., 2006). Tal resultado pode ser explicado pelo fato de que pacientes submetidos à diálise apresentam uma atenuação da queda noturna da pressão diastólica e sistólica em relação aos pacientes que não são portadores de insuficiência renal, por isso pacientes já com altas taxas pressóricas com a diálise teriam </w:t>
      </w:r>
      <w:r w:rsidRPr="00DC3FF0">
        <w:rPr>
          <w:rFonts w:ascii="Times New Roman" w:hAnsi="Times New Roman"/>
          <w:sz w:val="24"/>
          <w:szCs w:val="24"/>
        </w:rPr>
        <w:lastRenderedPageBreak/>
        <w:t xml:space="preserve">pouca redução noturna das mesmas, predispondo a uma sobrecarga de órgãos vitais como o próprio rim. Conclui-se então que a HAS e a função renal estão intimamente associadas, sendo que a HAS pode ser tanto a causa como consequência da IRC (PINHEIRO; ALVES, 2003). </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Os que faleceram apresentam maior frequência de níveis baixos e altos de albumina e menor de níveis médios da substância, quando comparados com as respectivas frequências dos sobreviventes e a diferença entre eles é significativa (p = 0,002), sendo que, em se tratando do grupo com albumina sérica alta, vale ressaltar que o número de pacientes é muito pequeno em relação aos demais grupos, amostra esta que inviabiliza a análise do referido grupo. As médias de albumina dos dois grupos são, entretanto, muito parecidas (em torno de 3,7g/</w:t>
      </w:r>
      <w:proofErr w:type="spellStart"/>
      <w:r w:rsidRPr="00DC3FF0">
        <w:rPr>
          <w:rFonts w:ascii="Times New Roman" w:hAnsi="Times New Roman"/>
          <w:sz w:val="24"/>
          <w:szCs w:val="24"/>
        </w:rPr>
        <w:t>dL</w:t>
      </w:r>
      <w:proofErr w:type="spellEnd"/>
      <w:r w:rsidRPr="00DC3FF0">
        <w:rPr>
          <w:rFonts w:ascii="Times New Roman" w:hAnsi="Times New Roman"/>
          <w:sz w:val="24"/>
          <w:szCs w:val="24"/>
        </w:rPr>
        <w:t xml:space="preserve">), com p=0,464. Embora não haja diferenças entre as médias, os dois grupos (sobreviventes e falecidos) são diferentes quanto aos percentuais de pacientes que apresentam albumina nas concentrações comparadas. Há indícios, portanto, de que níveis muito baixos, estão associados com o risco de morte, na hemodiálise. Tais dados são compatíveis com a literatura encontrada, uma vez que a mesma mostra que a </w:t>
      </w:r>
      <w:proofErr w:type="spellStart"/>
      <w:r w:rsidRPr="00DC3FF0">
        <w:rPr>
          <w:rFonts w:ascii="Times New Roman" w:hAnsi="Times New Roman"/>
          <w:sz w:val="24"/>
          <w:szCs w:val="24"/>
        </w:rPr>
        <w:t>hipoalbuminemia</w:t>
      </w:r>
      <w:proofErr w:type="spellEnd"/>
      <w:r w:rsidRPr="00DC3FF0">
        <w:rPr>
          <w:rFonts w:ascii="Times New Roman" w:hAnsi="Times New Roman"/>
          <w:sz w:val="24"/>
          <w:szCs w:val="24"/>
        </w:rPr>
        <w:t>, que reflete um estado inflamatório crônico, é um marcador de baixa sobreviva (AZEVEDO et al., 2009).</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Em relação à </w:t>
      </w:r>
      <w:proofErr w:type="spellStart"/>
      <w:r w:rsidRPr="00DC3FF0">
        <w:rPr>
          <w:rFonts w:ascii="Times New Roman" w:hAnsi="Times New Roman"/>
          <w:sz w:val="24"/>
          <w:szCs w:val="24"/>
        </w:rPr>
        <w:t>ferritina</w:t>
      </w:r>
      <w:proofErr w:type="spellEnd"/>
      <w:r w:rsidRPr="00DC3FF0">
        <w:rPr>
          <w:rFonts w:ascii="Times New Roman" w:hAnsi="Times New Roman"/>
          <w:sz w:val="24"/>
          <w:szCs w:val="24"/>
        </w:rPr>
        <w:t xml:space="preserve">, observou-se que os pacientes que faleceram ao longo do estudo tinham uma maior frequência de baixos níveis de </w:t>
      </w:r>
      <w:proofErr w:type="spellStart"/>
      <w:r w:rsidRPr="00DC3FF0">
        <w:rPr>
          <w:rFonts w:ascii="Times New Roman" w:hAnsi="Times New Roman"/>
          <w:sz w:val="24"/>
          <w:szCs w:val="24"/>
        </w:rPr>
        <w:t>ferritina</w:t>
      </w:r>
      <w:proofErr w:type="spellEnd"/>
      <w:r w:rsidRPr="00DC3FF0">
        <w:rPr>
          <w:rFonts w:ascii="Times New Roman" w:hAnsi="Times New Roman"/>
          <w:sz w:val="24"/>
          <w:szCs w:val="24"/>
        </w:rPr>
        <w:t xml:space="preserve"> e menor de níveis altos da mesma, quando comparados com as respectivas frequências dos sobreviventes e a diferença entre eles é significativa (p = 0,012). A média de </w:t>
      </w:r>
      <w:proofErr w:type="spellStart"/>
      <w:r w:rsidRPr="00DC3FF0">
        <w:rPr>
          <w:rFonts w:ascii="Times New Roman" w:hAnsi="Times New Roman"/>
          <w:sz w:val="24"/>
          <w:szCs w:val="24"/>
        </w:rPr>
        <w:t>ferritina</w:t>
      </w:r>
      <w:proofErr w:type="spellEnd"/>
      <w:r w:rsidRPr="00DC3FF0">
        <w:rPr>
          <w:rFonts w:ascii="Times New Roman" w:hAnsi="Times New Roman"/>
          <w:sz w:val="24"/>
          <w:szCs w:val="24"/>
        </w:rPr>
        <w:t xml:space="preserve"> no grupo dos que faleceram é de 264,2 </w:t>
      </w:r>
      <w:proofErr w:type="spellStart"/>
      <w:r w:rsidRPr="00DC3FF0">
        <w:rPr>
          <w:rFonts w:ascii="Times New Roman" w:hAnsi="Times New Roman"/>
          <w:sz w:val="24"/>
          <w:szCs w:val="24"/>
        </w:rPr>
        <w:t>ng</w:t>
      </w:r>
      <w:proofErr w:type="spellEnd"/>
      <w:r w:rsidRPr="00DC3FF0">
        <w:rPr>
          <w:rFonts w:ascii="Times New Roman" w:hAnsi="Times New Roman"/>
          <w:sz w:val="24"/>
          <w:szCs w:val="24"/>
        </w:rPr>
        <w:t>/</w:t>
      </w:r>
      <w:proofErr w:type="spellStart"/>
      <w:r w:rsidRPr="00DC3FF0">
        <w:rPr>
          <w:rFonts w:ascii="Times New Roman" w:hAnsi="Times New Roman"/>
          <w:sz w:val="24"/>
          <w:szCs w:val="24"/>
        </w:rPr>
        <w:t>dL</w:t>
      </w:r>
      <w:proofErr w:type="spellEnd"/>
      <w:r w:rsidRPr="00DC3FF0">
        <w:rPr>
          <w:rFonts w:ascii="Times New Roman" w:hAnsi="Times New Roman"/>
          <w:sz w:val="24"/>
          <w:szCs w:val="24"/>
        </w:rPr>
        <w:t xml:space="preserve"> e entre os sobreviventes é de 219,2 </w:t>
      </w:r>
      <w:proofErr w:type="spellStart"/>
      <w:r w:rsidRPr="00DC3FF0">
        <w:rPr>
          <w:rFonts w:ascii="Times New Roman" w:hAnsi="Times New Roman"/>
          <w:sz w:val="24"/>
          <w:szCs w:val="24"/>
        </w:rPr>
        <w:t>ng</w:t>
      </w:r>
      <w:proofErr w:type="spellEnd"/>
      <w:r w:rsidRPr="00DC3FF0">
        <w:rPr>
          <w:rFonts w:ascii="Times New Roman" w:hAnsi="Times New Roman"/>
          <w:sz w:val="24"/>
          <w:szCs w:val="24"/>
        </w:rPr>
        <w:t>/</w:t>
      </w:r>
      <w:proofErr w:type="spellStart"/>
      <w:r w:rsidRPr="00DC3FF0">
        <w:rPr>
          <w:rFonts w:ascii="Times New Roman" w:hAnsi="Times New Roman"/>
          <w:sz w:val="24"/>
          <w:szCs w:val="24"/>
        </w:rPr>
        <w:t>dL</w:t>
      </w:r>
      <w:proofErr w:type="spellEnd"/>
      <w:r w:rsidRPr="00DC3FF0">
        <w:rPr>
          <w:rFonts w:ascii="Times New Roman" w:hAnsi="Times New Roman"/>
          <w:sz w:val="24"/>
          <w:szCs w:val="24"/>
        </w:rPr>
        <w:t xml:space="preserve">, apresentando p = 0,306, sendo a média no primeiro grupo maior que no segundo. Pode-se dizer, portanto, que um menor valor de </w:t>
      </w:r>
      <w:proofErr w:type="spellStart"/>
      <w:r w:rsidRPr="00DC3FF0">
        <w:rPr>
          <w:rFonts w:ascii="Times New Roman" w:hAnsi="Times New Roman"/>
          <w:sz w:val="24"/>
          <w:szCs w:val="24"/>
        </w:rPr>
        <w:t>ferritina</w:t>
      </w:r>
      <w:proofErr w:type="spellEnd"/>
      <w:r w:rsidRPr="00DC3FF0">
        <w:rPr>
          <w:rFonts w:ascii="Times New Roman" w:hAnsi="Times New Roman"/>
          <w:sz w:val="24"/>
          <w:szCs w:val="24"/>
        </w:rPr>
        <w:t xml:space="preserve"> estaria associado a uma maior mortalidade entre os pacientes incluídos no estudo, apesar de que a literatura mostra que valores elevados de </w:t>
      </w:r>
      <w:proofErr w:type="spellStart"/>
      <w:r w:rsidRPr="00DC3FF0">
        <w:rPr>
          <w:rFonts w:ascii="Times New Roman" w:hAnsi="Times New Roman"/>
          <w:sz w:val="24"/>
          <w:szCs w:val="24"/>
        </w:rPr>
        <w:t>ferritina</w:t>
      </w:r>
      <w:proofErr w:type="spellEnd"/>
      <w:r w:rsidRPr="00DC3FF0">
        <w:rPr>
          <w:rFonts w:ascii="Times New Roman" w:hAnsi="Times New Roman"/>
          <w:sz w:val="24"/>
          <w:szCs w:val="24"/>
        </w:rPr>
        <w:t xml:space="preserve"> contribuem diretamente para uma maior mortalidade em pacientes dialíticos (BEERENHOUT et al., 2002; HASUIKE et al., 2010; </w:t>
      </w:r>
      <w:r w:rsidRPr="00DC3FF0">
        <w:rPr>
          <w:rFonts w:ascii="Times New Roman" w:hAnsi="Times New Roman"/>
          <w:sz w:val="24"/>
          <w:szCs w:val="24"/>
        </w:rPr>
        <w:lastRenderedPageBreak/>
        <w:t xml:space="preserve">KALANTAR et al., 2001). Tal diferença pode ser explicada pelo fato de que o número de pacientes que apresentavam altos valores de </w:t>
      </w:r>
      <w:proofErr w:type="spellStart"/>
      <w:r w:rsidRPr="00DC3FF0">
        <w:rPr>
          <w:rFonts w:ascii="Times New Roman" w:hAnsi="Times New Roman"/>
          <w:sz w:val="24"/>
          <w:szCs w:val="24"/>
        </w:rPr>
        <w:t>ferritina</w:t>
      </w:r>
      <w:proofErr w:type="spellEnd"/>
      <w:r w:rsidRPr="00DC3FF0">
        <w:rPr>
          <w:rFonts w:ascii="Times New Roman" w:hAnsi="Times New Roman"/>
          <w:sz w:val="24"/>
          <w:szCs w:val="24"/>
        </w:rPr>
        <w:t xml:space="preserve"> era muito pequeno perto da amostra que representa os demais grupos de valores para a substância. Em contrapartida, baixos valores de </w:t>
      </w:r>
      <w:proofErr w:type="spellStart"/>
      <w:r w:rsidRPr="00DC3FF0">
        <w:rPr>
          <w:rFonts w:ascii="Times New Roman" w:hAnsi="Times New Roman"/>
          <w:sz w:val="24"/>
          <w:szCs w:val="24"/>
        </w:rPr>
        <w:t>ferritina</w:t>
      </w:r>
      <w:proofErr w:type="spellEnd"/>
      <w:r w:rsidRPr="00DC3FF0">
        <w:rPr>
          <w:rFonts w:ascii="Times New Roman" w:hAnsi="Times New Roman"/>
          <w:sz w:val="24"/>
          <w:szCs w:val="24"/>
        </w:rPr>
        <w:t xml:space="preserve"> coincidem com uma menor sobrevida em pacientes com </w:t>
      </w:r>
      <w:proofErr w:type="spellStart"/>
      <w:r w:rsidRPr="00DC3FF0">
        <w:rPr>
          <w:rFonts w:ascii="Times New Roman" w:hAnsi="Times New Roman"/>
          <w:sz w:val="24"/>
          <w:szCs w:val="24"/>
        </w:rPr>
        <w:t>Hb</w:t>
      </w:r>
      <w:proofErr w:type="spellEnd"/>
      <w:r w:rsidRPr="00DC3FF0">
        <w:rPr>
          <w:rFonts w:ascii="Times New Roman" w:hAnsi="Times New Roman"/>
          <w:sz w:val="24"/>
          <w:szCs w:val="24"/>
        </w:rPr>
        <w:t xml:space="preserve">&lt; 7, o que pode explica a </w:t>
      </w:r>
      <w:proofErr w:type="spellStart"/>
      <w:r w:rsidRPr="00DC3FF0">
        <w:rPr>
          <w:rFonts w:ascii="Times New Roman" w:hAnsi="Times New Roman"/>
          <w:sz w:val="24"/>
          <w:szCs w:val="24"/>
        </w:rPr>
        <w:t>multifatoriedade</w:t>
      </w:r>
      <w:proofErr w:type="spellEnd"/>
      <w:r w:rsidRPr="00DC3FF0">
        <w:rPr>
          <w:rFonts w:ascii="Times New Roman" w:hAnsi="Times New Roman"/>
          <w:sz w:val="24"/>
          <w:szCs w:val="24"/>
        </w:rPr>
        <w:t xml:space="preserve"> da anemia no paciente </w:t>
      </w:r>
      <w:proofErr w:type="spellStart"/>
      <w:r w:rsidRPr="00DC3FF0">
        <w:rPr>
          <w:rFonts w:ascii="Times New Roman" w:hAnsi="Times New Roman"/>
          <w:sz w:val="24"/>
          <w:szCs w:val="24"/>
        </w:rPr>
        <w:t>hemodialítico</w:t>
      </w:r>
      <w:proofErr w:type="spellEnd"/>
      <w:r w:rsidRPr="00DC3FF0">
        <w:rPr>
          <w:rFonts w:ascii="Times New Roman" w:hAnsi="Times New Roman"/>
          <w:sz w:val="24"/>
          <w:szCs w:val="24"/>
        </w:rPr>
        <w:t xml:space="preserve"> (LOCATELLI et al., 2004; PISONI et al., 2004).</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Os sobreviventes apresentaram maior frequência de </w:t>
      </w:r>
      <w:proofErr w:type="spellStart"/>
      <w:r w:rsidRPr="00DC3FF0">
        <w:rPr>
          <w:rFonts w:ascii="Times New Roman" w:hAnsi="Times New Roman"/>
          <w:sz w:val="24"/>
          <w:szCs w:val="24"/>
        </w:rPr>
        <w:t>Kt</w:t>
      </w:r>
      <w:proofErr w:type="spellEnd"/>
      <w:r w:rsidRPr="00DC3FF0">
        <w:rPr>
          <w:rFonts w:ascii="Times New Roman" w:hAnsi="Times New Roman"/>
          <w:sz w:val="24"/>
          <w:szCs w:val="24"/>
        </w:rPr>
        <w:t xml:space="preserve">/V elevados quando comparados com a respectiva frequência dos falecidos e a diferença entre eles tem significância estatística (p=0,004).  As médias dos dois grupos são muito parecidas (em torno de 1,5), com P &lt; 0,151. Embora não haja diferenças significativas entre as médias, os dois grupos (sobreviventes e falecidos) são diferentes quanto aos percentuais de pacientes que apresentam doses de </w:t>
      </w:r>
      <w:proofErr w:type="spellStart"/>
      <w:r w:rsidRPr="00DC3FF0">
        <w:rPr>
          <w:rFonts w:ascii="Times New Roman" w:hAnsi="Times New Roman"/>
          <w:sz w:val="24"/>
          <w:szCs w:val="24"/>
        </w:rPr>
        <w:t>Kt</w:t>
      </w:r>
      <w:proofErr w:type="spellEnd"/>
      <w:r w:rsidRPr="00DC3FF0">
        <w:rPr>
          <w:rFonts w:ascii="Times New Roman" w:hAnsi="Times New Roman"/>
          <w:sz w:val="24"/>
          <w:szCs w:val="24"/>
        </w:rPr>
        <w:t xml:space="preserve">/V comparadas. O </w:t>
      </w:r>
      <w:proofErr w:type="spellStart"/>
      <w:r w:rsidRPr="00DC3FF0">
        <w:rPr>
          <w:rFonts w:ascii="Times New Roman" w:hAnsi="Times New Roman"/>
          <w:sz w:val="24"/>
          <w:szCs w:val="24"/>
        </w:rPr>
        <w:t>Kt</w:t>
      </w:r>
      <w:proofErr w:type="spellEnd"/>
      <w:r w:rsidRPr="00DC3FF0">
        <w:rPr>
          <w:rFonts w:ascii="Times New Roman" w:hAnsi="Times New Roman"/>
          <w:sz w:val="24"/>
          <w:szCs w:val="24"/>
        </w:rPr>
        <w:t xml:space="preserve">/V hoje é aceito como </w:t>
      </w:r>
      <w:proofErr w:type="spellStart"/>
      <w:r w:rsidRPr="00DC3FF0">
        <w:rPr>
          <w:rFonts w:ascii="Times New Roman" w:hAnsi="Times New Roman"/>
          <w:sz w:val="24"/>
          <w:szCs w:val="24"/>
        </w:rPr>
        <w:t>preditor</w:t>
      </w:r>
      <w:proofErr w:type="spellEnd"/>
      <w:r w:rsidRPr="00DC3FF0">
        <w:rPr>
          <w:rFonts w:ascii="Times New Roman" w:hAnsi="Times New Roman"/>
          <w:sz w:val="24"/>
          <w:szCs w:val="24"/>
        </w:rPr>
        <w:t xml:space="preserve"> de melhora clínica, em que valores acima de 1,2 relacionam-se a uma maior sobrevida (AZEVEDO et al., 2009), o que foi igualmente observado no nosso estudo. </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Em se tratando da hemoglobina, percebeu-se que no grupo de pacientes que possuíam valores entre 2,0 e &lt; 7,0 houve uma maior mortalidade, e no grupo com valores entre 7,0 e &lt; 12,0 houve uma maior sobrevida, sendo que diferença entre os dois grupos (sobreviventes e falecidos) teve significância estatística (p = 0,013). Em relação ao grupo com altos níveis de hemoglobina (</w:t>
      </w:r>
      <w:proofErr w:type="spellStart"/>
      <w:r w:rsidRPr="00DC3FF0">
        <w:rPr>
          <w:rFonts w:ascii="Times New Roman" w:hAnsi="Times New Roman"/>
          <w:sz w:val="24"/>
          <w:szCs w:val="24"/>
        </w:rPr>
        <w:t>Hb</w:t>
      </w:r>
      <w:proofErr w:type="spellEnd"/>
      <w:r w:rsidRPr="00DC3FF0">
        <w:rPr>
          <w:rFonts w:ascii="Times New Roman" w:hAnsi="Times New Roman"/>
          <w:sz w:val="24"/>
          <w:szCs w:val="24"/>
        </w:rPr>
        <w:t>&gt; 12,0 g/</w:t>
      </w:r>
      <w:proofErr w:type="spellStart"/>
      <w:r w:rsidRPr="00DC3FF0">
        <w:rPr>
          <w:rFonts w:ascii="Times New Roman" w:hAnsi="Times New Roman"/>
          <w:sz w:val="24"/>
          <w:szCs w:val="24"/>
        </w:rPr>
        <w:t>dL</w:t>
      </w:r>
      <w:proofErr w:type="spellEnd"/>
      <w:r w:rsidRPr="00DC3FF0">
        <w:rPr>
          <w:rFonts w:ascii="Times New Roman" w:hAnsi="Times New Roman"/>
          <w:sz w:val="24"/>
          <w:szCs w:val="24"/>
        </w:rPr>
        <w:t>), apesar de haver significância estatística, o mesmo possui poucos pacientes (quatro), o que tornaria a análise de certa forma falha. As médias de hemoglobina dos dois grupos são semelhantes (10,1  mg/</w:t>
      </w:r>
      <w:proofErr w:type="spellStart"/>
      <w:r w:rsidRPr="00DC3FF0">
        <w:rPr>
          <w:rFonts w:ascii="Times New Roman" w:hAnsi="Times New Roman"/>
          <w:sz w:val="24"/>
          <w:szCs w:val="24"/>
        </w:rPr>
        <w:t>dL</w:t>
      </w:r>
      <w:proofErr w:type="spellEnd"/>
      <w:r w:rsidRPr="00DC3FF0">
        <w:rPr>
          <w:rFonts w:ascii="Times New Roman" w:hAnsi="Times New Roman"/>
          <w:sz w:val="24"/>
          <w:szCs w:val="24"/>
        </w:rPr>
        <w:t xml:space="preserve">), com p=0,000 embora não haja diferenças entre as médias, os dois grupos (sobreviventes e falecidos) são diferentes quanto aos percentuais de pacientes que apresentam níveis altos e baixos de hemoglobina. Há indícios, portanto, de que níveis mais baixos de hemoglobina estão associados a um maior risco de morte na hemodiálise. A hemoglobina é importante para a avaliação do quadro de </w:t>
      </w:r>
      <w:r w:rsidRPr="00DC3FF0">
        <w:rPr>
          <w:rFonts w:ascii="Times New Roman" w:hAnsi="Times New Roman"/>
          <w:sz w:val="24"/>
          <w:szCs w:val="24"/>
        </w:rPr>
        <w:lastRenderedPageBreak/>
        <w:t>anemia no paciente em hemodiálise, sendo associada a uma diminuição da qualidade de vida e aumento da mortalidade (AMMIRATI et al., 2010).</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Os que sobreviveram apresentaram maior frequência de níveis baixos de cálcio, quando comparados com as respectivas frequências dos falecidos, sendo que a diferença entre eles é significativa (p = 0,000). As médias de cálcio dos dois grupos são, entretanto, muito parecidas (em torno de 9 mg/</w:t>
      </w:r>
      <w:proofErr w:type="spellStart"/>
      <w:r w:rsidRPr="00DC3FF0">
        <w:rPr>
          <w:rFonts w:ascii="Times New Roman" w:hAnsi="Times New Roman"/>
          <w:sz w:val="24"/>
          <w:szCs w:val="24"/>
        </w:rPr>
        <w:t>dL</w:t>
      </w:r>
      <w:proofErr w:type="spellEnd"/>
      <w:r w:rsidRPr="00DC3FF0">
        <w:rPr>
          <w:rFonts w:ascii="Times New Roman" w:hAnsi="Times New Roman"/>
          <w:sz w:val="24"/>
          <w:szCs w:val="24"/>
        </w:rPr>
        <w:t xml:space="preserve">), com p=0,011. Embora não haja diferenças entre as médias, os dois grupos (sobreviventes e falecidos) são diferentes quanto aos percentuais de pacientes que apresentam cálcio nas concentrações comparadas. Os pacientes que sobreviveram apresentaram menores valores de cálcio. Com base na literatura não há indícios de que valores baixos isolados do íon cálcio estejam relacionados com uma maior sobrevida nos pacientes que se encontram em tratamento </w:t>
      </w:r>
      <w:proofErr w:type="spellStart"/>
      <w:r w:rsidRPr="00DC3FF0">
        <w:rPr>
          <w:rFonts w:ascii="Times New Roman" w:hAnsi="Times New Roman"/>
          <w:sz w:val="24"/>
          <w:szCs w:val="24"/>
        </w:rPr>
        <w:t>hemodialítico</w:t>
      </w:r>
      <w:proofErr w:type="spellEnd"/>
      <w:r w:rsidRPr="00DC3FF0">
        <w:rPr>
          <w:rFonts w:ascii="Times New Roman" w:hAnsi="Times New Roman"/>
          <w:sz w:val="24"/>
          <w:szCs w:val="24"/>
        </w:rPr>
        <w:t>, embora em nosso estudo isso tenha sido evidenciado. O envolvimento primário de calcificações vasculares evidencia a importância de se fazer o controle metabólico do íon cálcio em nosso organismo.</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shd w:val="clear" w:color="auto" w:fill="FFFFFF"/>
        </w:rPr>
        <w:t>Quanto à análise isolada do PTH, os dois grupos (sobreviventes e falecidos) apresentaram maior frequência de níveis baixos desse hormônio e existe significância estatística (p=0,033). Quanto às médias de PTH o grupo de sobreviventes apresentou uma maior média (529,8) quando comparado ao grupo de falecidos (média = 409,5), com p= 0,008. Há, portanto, indícios de que a mortalidade esteja relacionada a níveis mais baixos de PTH. Parâmetros do metabolismo mineral podem desempenhar um papel importante na sobrevivência de pacientes com doença renal crônica e a literatura mostra que níveis baixos e elevados de PTH estão relacionados a uma maior mortalidade (NAVES et al., 2011). Entretanto, em nosso estudo apenas os níveis baixos desse hormônio tiveram associação com a mortalidade.</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Sobreviventes e falecidos na hemodiálise foram comparados ainda quanto às frequências e/ou médias de gênero, profissão, estado civil, cor, causas de insuficiência renal crônica, presença de DM, presença de cardiopatia, causa do óbito, hematócrito, leucócitos, fósforo e </w:t>
      </w:r>
      <w:r w:rsidRPr="00DC3FF0">
        <w:rPr>
          <w:rFonts w:ascii="Times New Roman" w:hAnsi="Times New Roman"/>
          <w:sz w:val="24"/>
          <w:szCs w:val="24"/>
        </w:rPr>
        <w:lastRenderedPageBreak/>
        <w:t xml:space="preserve">produto </w:t>
      </w:r>
      <w:proofErr w:type="spellStart"/>
      <w:r w:rsidRPr="00DC3FF0">
        <w:rPr>
          <w:rFonts w:ascii="Times New Roman" w:hAnsi="Times New Roman"/>
          <w:sz w:val="24"/>
          <w:szCs w:val="24"/>
        </w:rPr>
        <w:t>CaxP</w:t>
      </w:r>
      <w:proofErr w:type="spellEnd"/>
      <w:r w:rsidRPr="00DC3FF0">
        <w:rPr>
          <w:rFonts w:ascii="Times New Roman" w:hAnsi="Times New Roman"/>
          <w:sz w:val="24"/>
          <w:szCs w:val="24"/>
        </w:rPr>
        <w:t>. Em nenhuma dessas comparações detectou-se diferenças significativamente importantes entre os dois grupos. Todas as comparações apresentaram p maior ou igual 0,05. Esses resultados sugerem não haver relação, pelo menos estatística, entre as variáveis e o fato de o paciente falecer ou sobreviver.</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Já em se tratando da curva de sobrevida dos </w:t>
      </w:r>
      <w:proofErr w:type="spellStart"/>
      <w:r w:rsidRPr="00DC3FF0">
        <w:rPr>
          <w:rFonts w:ascii="Times New Roman" w:hAnsi="Times New Roman"/>
          <w:sz w:val="24"/>
          <w:szCs w:val="24"/>
        </w:rPr>
        <w:t>hemodialíticos</w:t>
      </w:r>
      <w:proofErr w:type="spellEnd"/>
      <w:r w:rsidRPr="00DC3FF0">
        <w:rPr>
          <w:rFonts w:ascii="Times New Roman" w:hAnsi="Times New Roman"/>
          <w:sz w:val="24"/>
          <w:szCs w:val="24"/>
        </w:rPr>
        <w:t xml:space="preserve"> atendidos no serviço, observa-se uma taxa de óbito aproximadamente de 15% no final do primeiro ano e sobrevida de 85% de pacientes no final deste mesmo período. Mostra ainda que a taxa de sobreviventes continuou caindo até o final do quinto ano, quando atingiu 67% de sobrevida. A curva sugere mortalidade razoavelmente intensa no primeiro ano de tratamento seguida com redução gradativa da sobrevida até o final do quinto ano. Sugere também que a mortalidade deve ser pequena depois do quinto ano de hemodiálise.</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Os resultados apresentados possibilitam concluir que a taxa de mortalidade dos pacientes </w:t>
      </w:r>
      <w:proofErr w:type="spellStart"/>
      <w:r w:rsidRPr="00DC3FF0">
        <w:rPr>
          <w:rFonts w:ascii="Times New Roman" w:hAnsi="Times New Roman"/>
          <w:sz w:val="24"/>
          <w:szCs w:val="24"/>
        </w:rPr>
        <w:t>hemodialíticos</w:t>
      </w:r>
      <w:proofErr w:type="spellEnd"/>
      <w:r w:rsidRPr="00DC3FF0">
        <w:rPr>
          <w:rFonts w:ascii="Times New Roman" w:hAnsi="Times New Roman"/>
          <w:sz w:val="24"/>
          <w:szCs w:val="24"/>
        </w:rPr>
        <w:t xml:space="preserve"> nesse serviço foi alta, sendo esta compatível com os dados encontrados na literatura.  A curva de sobrevida mostra uma maior mortalidade no primeiro ano de tratamento e queda progressiva da sobrevida até o quinto ano.  A comparação dos pacientes que faleceram com os que sobreviveram mostrou que a mortalidade está relacionada com idade acima de 60 anos, presença de hipertensão arterial sistêmica como </w:t>
      </w:r>
      <w:proofErr w:type="spellStart"/>
      <w:r w:rsidRPr="00DC3FF0">
        <w:rPr>
          <w:rFonts w:ascii="Times New Roman" w:hAnsi="Times New Roman"/>
          <w:sz w:val="24"/>
          <w:szCs w:val="24"/>
        </w:rPr>
        <w:t>co-morbidade</w:t>
      </w:r>
      <w:proofErr w:type="spellEnd"/>
      <w:r w:rsidRPr="00DC3FF0">
        <w:rPr>
          <w:rFonts w:ascii="Times New Roman" w:hAnsi="Times New Roman"/>
          <w:sz w:val="24"/>
          <w:szCs w:val="24"/>
        </w:rPr>
        <w:t xml:space="preserve">, valores baixos de albumina, baixos níveis de </w:t>
      </w:r>
      <w:proofErr w:type="spellStart"/>
      <w:r w:rsidRPr="00DC3FF0">
        <w:rPr>
          <w:rFonts w:ascii="Times New Roman" w:hAnsi="Times New Roman"/>
          <w:sz w:val="24"/>
          <w:szCs w:val="24"/>
        </w:rPr>
        <w:t>ferritina</w:t>
      </w:r>
      <w:proofErr w:type="spellEnd"/>
      <w:r w:rsidRPr="00DC3FF0">
        <w:rPr>
          <w:rFonts w:ascii="Times New Roman" w:hAnsi="Times New Roman"/>
          <w:sz w:val="24"/>
          <w:szCs w:val="24"/>
        </w:rPr>
        <w:t xml:space="preserve">, doses de </w:t>
      </w:r>
      <w:proofErr w:type="spellStart"/>
      <w:r w:rsidRPr="00DC3FF0">
        <w:rPr>
          <w:rFonts w:ascii="Times New Roman" w:hAnsi="Times New Roman"/>
          <w:sz w:val="24"/>
          <w:szCs w:val="24"/>
        </w:rPr>
        <w:t>Kt</w:t>
      </w:r>
      <w:proofErr w:type="spellEnd"/>
      <w:r w:rsidRPr="00DC3FF0">
        <w:rPr>
          <w:rFonts w:ascii="Times New Roman" w:hAnsi="Times New Roman"/>
          <w:sz w:val="24"/>
          <w:szCs w:val="24"/>
        </w:rPr>
        <w:t>/V abaixo de 1,2, valores de hemoglobina &lt;7 g/</w:t>
      </w:r>
      <w:proofErr w:type="spellStart"/>
      <w:r w:rsidRPr="00DC3FF0">
        <w:rPr>
          <w:rFonts w:ascii="Times New Roman" w:hAnsi="Times New Roman"/>
          <w:sz w:val="24"/>
          <w:szCs w:val="24"/>
        </w:rPr>
        <w:t>dL</w:t>
      </w:r>
      <w:proofErr w:type="spellEnd"/>
      <w:r w:rsidRPr="00DC3FF0">
        <w:rPr>
          <w:rFonts w:ascii="Times New Roman" w:hAnsi="Times New Roman"/>
          <w:sz w:val="24"/>
          <w:szCs w:val="24"/>
        </w:rPr>
        <w:t>, níveis baixos de PTH e doença cardiovascular como causa do óbito.</w:t>
      </w:r>
    </w:p>
    <w:p w:rsidR="00B206A4" w:rsidRPr="00DC3FF0" w:rsidRDefault="00B206A4" w:rsidP="00DC3FF0">
      <w:pPr>
        <w:spacing w:after="0" w:line="480" w:lineRule="auto"/>
        <w:jc w:val="both"/>
        <w:textAlignment w:val="baseline"/>
        <w:rPr>
          <w:rFonts w:ascii="Times New Roman" w:hAnsi="Times New Roman"/>
          <w:color w:val="000000"/>
          <w:sz w:val="24"/>
          <w:szCs w:val="24"/>
        </w:rPr>
      </w:pPr>
    </w:p>
    <w:p w:rsidR="00B206A4" w:rsidRPr="00DC3FF0" w:rsidRDefault="00B206A4" w:rsidP="00A12392">
      <w:pPr>
        <w:pStyle w:val="PargrafodaLista"/>
        <w:spacing w:after="0" w:line="480" w:lineRule="auto"/>
        <w:jc w:val="both"/>
        <w:textAlignment w:val="baseline"/>
        <w:rPr>
          <w:rFonts w:ascii="Times New Roman" w:hAnsi="Times New Roman"/>
          <w:b/>
          <w:color w:val="000000"/>
          <w:sz w:val="24"/>
          <w:szCs w:val="24"/>
        </w:rPr>
      </w:pPr>
      <w:r w:rsidRPr="00DC3FF0">
        <w:rPr>
          <w:rFonts w:ascii="Times New Roman" w:hAnsi="Times New Roman"/>
          <w:color w:val="000000"/>
          <w:sz w:val="24"/>
          <w:szCs w:val="24"/>
        </w:rPr>
        <w:t>5</w:t>
      </w:r>
      <w:r w:rsidRPr="00DC3FF0">
        <w:rPr>
          <w:rFonts w:ascii="Times New Roman" w:hAnsi="Times New Roman"/>
          <w:b/>
          <w:color w:val="000000"/>
          <w:sz w:val="24"/>
          <w:szCs w:val="24"/>
        </w:rPr>
        <w:t xml:space="preserve"> CONCLUSÃO </w:t>
      </w:r>
    </w:p>
    <w:p w:rsidR="00B206A4" w:rsidRPr="00DC3FF0" w:rsidRDefault="00B206A4" w:rsidP="00E90FE9">
      <w:pPr>
        <w:pStyle w:val="PargrafodaLista"/>
        <w:spacing w:after="0" w:line="480" w:lineRule="auto"/>
        <w:ind w:left="-142"/>
        <w:jc w:val="both"/>
        <w:textAlignment w:val="baseline"/>
        <w:rPr>
          <w:rFonts w:ascii="Times New Roman" w:hAnsi="Times New Roman"/>
          <w:b/>
          <w:color w:val="000000"/>
          <w:sz w:val="24"/>
          <w:szCs w:val="24"/>
        </w:rPr>
      </w:pPr>
      <w:r w:rsidRPr="00DC3FF0">
        <w:rPr>
          <w:rFonts w:ascii="Times New Roman" w:hAnsi="Times New Roman"/>
          <w:b/>
          <w:color w:val="000000"/>
          <w:sz w:val="24"/>
          <w:szCs w:val="24"/>
        </w:rPr>
        <w:tab/>
      </w:r>
      <w:r w:rsidRPr="00DC3FF0">
        <w:rPr>
          <w:rFonts w:ascii="Times New Roman" w:hAnsi="Times New Roman"/>
          <w:b/>
          <w:color w:val="000000"/>
          <w:sz w:val="24"/>
          <w:szCs w:val="24"/>
        </w:rPr>
        <w:tab/>
      </w:r>
    </w:p>
    <w:p w:rsidR="00B206A4" w:rsidRPr="00DC3FF0" w:rsidRDefault="00B206A4" w:rsidP="00E90FE9">
      <w:pPr>
        <w:pStyle w:val="PargrafodaLista"/>
        <w:spacing w:after="0" w:line="480" w:lineRule="auto"/>
        <w:ind w:left="-142"/>
        <w:jc w:val="both"/>
        <w:textAlignment w:val="baseline"/>
        <w:rPr>
          <w:rFonts w:ascii="Times New Roman" w:hAnsi="Times New Roman"/>
          <w:sz w:val="24"/>
          <w:szCs w:val="24"/>
        </w:rPr>
      </w:pPr>
      <w:r w:rsidRPr="00DC3FF0">
        <w:rPr>
          <w:rFonts w:ascii="Times New Roman" w:hAnsi="Times New Roman"/>
          <w:b/>
          <w:color w:val="000000"/>
          <w:sz w:val="24"/>
          <w:szCs w:val="24"/>
        </w:rPr>
        <w:tab/>
        <w:t xml:space="preserve">    </w:t>
      </w:r>
      <w:r w:rsidRPr="00DC3FF0">
        <w:rPr>
          <w:rFonts w:ascii="Times New Roman" w:hAnsi="Times New Roman"/>
          <w:sz w:val="24"/>
          <w:szCs w:val="24"/>
        </w:rPr>
        <w:t xml:space="preserve">Os dados em conjunto permitem afirmar que os pacientes portadores de insuficiência renal crônica submetidos à diálise apresentam maiores taxas de mortalidade, quando apresentam mais de 60 anos, um quadro de hipertensão arterial sistêmica instalada, níveis extremos de </w:t>
      </w:r>
      <w:r w:rsidRPr="00DC3FF0">
        <w:rPr>
          <w:rFonts w:ascii="Times New Roman" w:hAnsi="Times New Roman"/>
          <w:sz w:val="24"/>
          <w:szCs w:val="24"/>
        </w:rPr>
        <w:lastRenderedPageBreak/>
        <w:t xml:space="preserve">taxas de albumina, menores frequências de </w:t>
      </w:r>
      <w:proofErr w:type="spellStart"/>
      <w:r w:rsidRPr="00DC3FF0">
        <w:rPr>
          <w:rFonts w:ascii="Times New Roman" w:hAnsi="Times New Roman"/>
          <w:sz w:val="24"/>
          <w:szCs w:val="24"/>
        </w:rPr>
        <w:t>Kt</w:t>
      </w:r>
      <w:proofErr w:type="spellEnd"/>
      <w:r w:rsidRPr="00DC3FF0">
        <w:rPr>
          <w:rFonts w:ascii="Times New Roman" w:hAnsi="Times New Roman"/>
          <w:sz w:val="24"/>
          <w:szCs w:val="24"/>
        </w:rPr>
        <w:t xml:space="preserve">/V, menores valores de </w:t>
      </w:r>
      <w:proofErr w:type="spellStart"/>
      <w:r w:rsidRPr="00DC3FF0">
        <w:rPr>
          <w:rFonts w:ascii="Times New Roman" w:hAnsi="Times New Roman"/>
          <w:sz w:val="24"/>
          <w:szCs w:val="24"/>
        </w:rPr>
        <w:t>ferritina</w:t>
      </w:r>
      <w:proofErr w:type="spellEnd"/>
      <w:r w:rsidRPr="00DC3FF0">
        <w:rPr>
          <w:rFonts w:ascii="Times New Roman" w:hAnsi="Times New Roman"/>
          <w:sz w:val="24"/>
          <w:szCs w:val="24"/>
        </w:rPr>
        <w:t xml:space="preserve">. Também mostrou que houve maior mortalidade em pacientes que tiveram níveis intermediários de hemoglobina e níveis maiores de cálcio. Já quanto ao PTH, esse se mostrou baixo tanto para os falecidos quanto para os sobreviventes. Outras variáveis pessoais foram analisadas como gênero, profissão, estado civil, causas de IRC, presença de DM e cardiopatia, causa do óbito, hematócrito, leucócitos, fósforo e produto </w:t>
      </w:r>
      <w:proofErr w:type="spellStart"/>
      <w:r w:rsidRPr="00DC3FF0">
        <w:rPr>
          <w:rFonts w:ascii="Times New Roman" w:hAnsi="Times New Roman"/>
          <w:sz w:val="24"/>
          <w:szCs w:val="24"/>
        </w:rPr>
        <w:t>CaXP</w:t>
      </w:r>
      <w:proofErr w:type="spellEnd"/>
      <w:r w:rsidRPr="00DC3FF0">
        <w:rPr>
          <w:rFonts w:ascii="Times New Roman" w:hAnsi="Times New Roman"/>
          <w:sz w:val="24"/>
          <w:szCs w:val="24"/>
        </w:rPr>
        <w:t xml:space="preserve">. Porém, nenhuma dessas variáveis foram significativas, indicando que não há relação entre a mortalidade e esses fatores.                                                                                             </w:t>
      </w:r>
      <w:r w:rsidRPr="00DC3FF0">
        <w:rPr>
          <w:rFonts w:ascii="Times New Roman" w:hAnsi="Times New Roman"/>
          <w:sz w:val="24"/>
          <w:szCs w:val="24"/>
        </w:rPr>
        <w:tab/>
        <w:t xml:space="preserve">    A curva de sobrevida indicou que há uma maior sobrevida após o quinto ano de tratamento do doente.                                                                                                                                </w:t>
      </w:r>
    </w:p>
    <w:p w:rsidR="00B206A4" w:rsidRPr="00DC3FF0" w:rsidRDefault="00B206A4" w:rsidP="00E90FE9">
      <w:pPr>
        <w:pStyle w:val="PargrafodaLista"/>
        <w:spacing w:after="0" w:line="480" w:lineRule="auto"/>
        <w:ind w:left="-142"/>
        <w:jc w:val="both"/>
        <w:textAlignment w:val="baseline"/>
        <w:rPr>
          <w:rFonts w:ascii="Times New Roman" w:hAnsi="Times New Roman"/>
          <w:sz w:val="24"/>
          <w:szCs w:val="24"/>
        </w:rPr>
      </w:pPr>
      <w:r w:rsidRPr="00DC3FF0">
        <w:rPr>
          <w:rFonts w:ascii="Times New Roman" w:hAnsi="Times New Roman"/>
          <w:sz w:val="24"/>
          <w:szCs w:val="24"/>
        </w:rPr>
        <w:tab/>
        <w:t xml:space="preserve">   Concluímos, pois, que é necessário um acompanhamento rigoroso dos pacientes em diálise para controle das variáveis como albumina, </w:t>
      </w:r>
      <w:proofErr w:type="spellStart"/>
      <w:r w:rsidRPr="00DC3FF0">
        <w:rPr>
          <w:rFonts w:ascii="Times New Roman" w:hAnsi="Times New Roman"/>
          <w:sz w:val="24"/>
          <w:szCs w:val="24"/>
        </w:rPr>
        <w:t>ferritina</w:t>
      </w:r>
      <w:proofErr w:type="spellEnd"/>
      <w:r w:rsidRPr="00DC3FF0">
        <w:rPr>
          <w:rFonts w:ascii="Times New Roman" w:hAnsi="Times New Roman"/>
          <w:sz w:val="24"/>
          <w:szCs w:val="24"/>
        </w:rPr>
        <w:t xml:space="preserve">, hemoglobina, cálcio e PTH. Além de tentar manter altas </w:t>
      </w:r>
      <w:proofErr w:type="spellStart"/>
      <w:r w:rsidRPr="00DC3FF0">
        <w:rPr>
          <w:rFonts w:ascii="Times New Roman" w:hAnsi="Times New Roman"/>
          <w:sz w:val="24"/>
          <w:szCs w:val="24"/>
        </w:rPr>
        <w:t>freqüências</w:t>
      </w:r>
      <w:proofErr w:type="spellEnd"/>
      <w:r w:rsidRPr="00DC3FF0">
        <w:rPr>
          <w:rFonts w:ascii="Times New Roman" w:hAnsi="Times New Roman"/>
          <w:sz w:val="24"/>
          <w:szCs w:val="24"/>
        </w:rPr>
        <w:t xml:space="preserve"> de </w:t>
      </w:r>
      <w:proofErr w:type="spellStart"/>
      <w:r w:rsidRPr="00DC3FF0">
        <w:rPr>
          <w:rFonts w:ascii="Times New Roman" w:hAnsi="Times New Roman"/>
          <w:sz w:val="24"/>
          <w:szCs w:val="24"/>
        </w:rPr>
        <w:t>Kt</w:t>
      </w:r>
      <w:proofErr w:type="spellEnd"/>
      <w:r w:rsidRPr="00DC3FF0">
        <w:rPr>
          <w:rFonts w:ascii="Times New Roman" w:hAnsi="Times New Roman"/>
          <w:sz w:val="24"/>
          <w:szCs w:val="24"/>
        </w:rPr>
        <w:t xml:space="preserve">/V, e controle rigoroso das </w:t>
      </w:r>
      <w:proofErr w:type="spellStart"/>
      <w:r w:rsidRPr="00DC3FF0">
        <w:rPr>
          <w:rFonts w:ascii="Times New Roman" w:hAnsi="Times New Roman"/>
          <w:sz w:val="24"/>
          <w:szCs w:val="24"/>
        </w:rPr>
        <w:t>co-morbidades</w:t>
      </w:r>
      <w:proofErr w:type="spellEnd"/>
      <w:r w:rsidRPr="00DC3FF0">
        <w:rPr>
          <w:rFonts w:ascii="Times New Roman" w:hAnsi="Times New Roman"/>
          <w:sz w:val="24"/>
          <w:szCs w:val="24"/>
        </w:rPr>
        <w:t>. Com o objetivo de otimizar o tratamento desses pacientes melhorando a qualidade de vida e as taxas de sobrevida.</w:t>
      </w:r>
    </w:p>
    <w:p w:rsidR="00B206A4" w:rsidRPr="005526FB" w:rsidRDefault="00B206A4" w:rsidP="00986AED">
      <w:pPr>
        <w:spacing w:after="0" w:line="360" w:lineRule="auto"/>
        <w:rPr>
          <w:rFonts w:ascii="Times New Roman" w:hAnsi="Times New Roman"/>
          <w:i/>
          <w:sz w:val="24"/>
          <w:szCs w:val="24"/>
          <w:lang w:val="en-US"/>
        </w:rPr>
      </w:pPr>
      <w:r w:rsidRPr="005526FB">
        <w:rPr>
          <w:rStyle w:val="hps"/>
          <w:rFonts w:ascii="Times New Roman" w:hAnsi="Times New Roman"/>
          <w:sz w:val="24"/>
          <w:szCs w:val="24"/>
          <w:lang w:val="en-US"/>
        </w:rPr>
        <w:t>Survival and</w:t>
      </w:r>
      <w:r w:rsidRPr="005526FB">
        <w:rPr>
          <w:rFonts w:ascii="Times New Roman" w:hAnsi="Times New Roman"/>
          <w:sz w:val="24"/>
          <w:szCs w:val="24"/>
          <w:lang w:val="en-US"/>
        </w:rPr>
        <w:t xml:space="preserve"> </w:t>
      </w:r>
      <w:r w:rsidRPr="005526FB">
        <w:rPr>
          <w:rStyle w:val="hps"/>
          <w:rFonts w:ascii="Times New Roman" w:hAnsi="Times New Roman"/>
          <w:sz w:val="24"/>
          <w:szCs w:val="24"/>
          <w:lang w:val="en-US"/>
        </w:rPr>
        <w:t>risk factors</w:t>
      </w:r>
      <w:r w:rsidRPr="005526FB">
        <w:rPr>
          <w:rFonts w:ascii="Times New Roman" w:hAnsi="Times New Roman"/>
          <w:sz w:val="24"/>
          <w:szCs w:val="24"/>
          <w:lang w:val="en-US"/>
        </w:rPr>
        <w:t xml:space="preserve"> </w:t>
      </w:r>
      <w:r w:rsidRPr="005526FB">
        <w:rPr>
          <w:rStyle w:val="hps"/>
          <w:rFonts w:ascii="Times New Roman" w:hAnsi="Times New Roman"/>
          <w:sz w:val="24"/>
          <w:szCs w:val="24"/>
          <w:lang w:val="en-US"/>
        </w:rPr>
        <w:t>of mortality in</w:t>
      </w:r>
      <w:r w:rsidRPr="005526FB">
        <w:rPr>
          <w:rFonts w:ascii="Times New Roman" w:hAnsi="Times New Roman"/>
          <w:sz w:val="24"/>
          <w:szCs w:val="24"/>
          <w:lang w:val="en-US"/>
        </w:rPr>
        <w:t xml:space="preserve"> </w:t>
      </w:r>
      <w:r w:rsidRPr="005526FB">
        <w:rPr>
          <w:rStyle w:val="hps"/>
          <w:rFonts w:ascii="Times New Roman" w:hAnsi="Times New Roman"/>
          <w:sz w:val="24"/>
          <w:szCs w:val="24"/>
          <w:lang w:val="en-US"/>
        </w:rPr>
        <w:t>hemodialysis patients</w:t>
      </w:r>
      <w:r w:rsidR="00FD4840">
        <w:rPr>
          <w:rStyle w:val="hps"/>
          <w:rFonts w:ascii="Times New Roman" w:hAnsi="Times New Roman"/>
          <w:i/>
          <w:sz w:val="24"/>
          <w:szCs w:val="24"/>
          <w:lang w:val="en-US"/>
        </w:rPr>
        <w:t xml:space="preserve"> </w:t>
      </w:r>
    </w:p>
    <w:p w:rsidR="00B206A4" w:rsidRPr="00986AED" w:rsidRDefault="00B206A4" w:rsidP="00986AED">
      <w:pPr>
        <w:spacing w:line="480" w:lineRule="auto"/>
        <w:jc w:val="both"/>
        <w:rPr>
          <w:rFonts w:ascii="Times New Roman" w:hAnsi="Times New Roman"/>
          <w:b/>
          <w:sz w:val="24"/>
          <w:szCs w:val="24"/>
          <w:lang w:val="en-US"/>
        </w:rPr>
      </w:pPr>
      <w:r w:rsidRPr="00986AED">
        <w:rPr>
          <w:rFonts w:ascii="Times New Roman" w:hAnsi="Times New Roman"/>
          <w:b/>
          <w:sz w:val="24"/>
          <w:szCs w:val="24"/>
          <w:lang w:val="en-US"/>
        </w:rPr>
        <w:t xml:space="preserve">ABSTRACT </w:t>
      </w:r>
    </w:p>
    <w:p w:rsidR="00B206A4" w:rsidRPr="00986AED" w:rsidRDefault="00B206A4" w:rsidP="00986AED">
      <w:pPr>
        <w:spacing w:line="480" w:lineRule="auto"/>
        <w:jc w:val="both"/>
        <w:rPr>
          <w:rFonts w:ascii="Times New Roman" w:hAnsi="Times New Roman"/>
          <w:b/>
          <w:sz w:val="24"/>
          <w:szCs w:val="24"/>
          <w:lang w:val="en-US"/>
        </w:rPr>
      </w:pPr>
      <w:r w:rsidRPr="00DC3FF0">
        <w:rPr>
          <w:rFonts w:ascii="Times New Roman" w:hAnsi="Times New Roman"/>
          <w:sz w:val="24"/>
          <w:szCs w:val="24"/>
          <w:shd w:val="clear" w:color="auto" w:fill="FFFFFF"/>
          <w:lang w:val="en-US"/>
        </w:rPr>
        <w:t xml:space="preserve">The objective of this study is to determine the pattern of mortality in hemodialysis patients at Kidney Center Pro- Renal </w:t>
      </w:r>
      <w:proofErr w:type="spellStart"/>
      <w:r w:rsidRPr="00DC3FF0">
        <w:rPr>
          <w:rFonts w:ascii="Times New Roman" w:hAnsi="Times New Roman"/>
          <w:sz w:val="24"/>
          <w:szCs w:val="24"/>
          <w:shd w:val="clear" w:color="auto" w:fill="FFFFFF"/>
          <w:lang w:val="en-US"/>
        </w:rPr>
        <w:t>Barbacena</w:t>
      </w:r>
      <w:proofErr w:type="spellEnd"/>
      <w:r w:rsidRPr="00DC3FF0">
        <w:rPr>
          <w:rFonts w:ascii="Times New Roman" w:hAnsi="Times New Roman"/>
          <w:sz w:val="24"/>
          <w:szCs w:val="24"/>
          <w:shd w:val="clear" w:color="auto" w:fill="FFFFFF"/>
          <w:lang w:val="en-US"/>
        </w:rPr>
        <w:t xml:space="preserve"> and determine the influence of the variables mentioned in patient survival from August 2004 to July 2011.</w:t>
      </w:r>
      <w:r w:rsidRPr="00DC3FF0">
        <w:rPr>
          <w:rFonts w:ascii="Times New Roman" w:hAnsi="Times New Roman"/>
          <w:sz w:val="24"/>
          <w:szCs w:val="24"/>
          <w:lang w:val="en-US"/>
        </w:rPr>
        <w:br/>
      </w:r>
      <w:r w:rsidRPr="00DC3FF0">
        <w:rPr>
          <w:rFonts w:ascii="Times New Roman" w:hAnsi="Times New Roman"/>
          <w:sz w:val="24"/>
          <w:szCs w:val="24"/>
          <w:shd w:val="clear" w:color="auto" w:fill="FFFFFF"/>
          <w:lang w:val="en-US"/>
        </w:rPr>
        <w:t>This is a cross-sectional study consisting of a sample of 202 hemodialysis patients. Data analysis was performed on a microcomputer, with statistical processing resources "software" (STATA 9.2).Frequency distributions have been constructed and measurements, standard deviations and percentages given for each variable have been calculated.</w:t>
      </w:r>
      <w:r w:rsidRPr="00DC3FF0">
        <w:rPr>
          <w:rFonts w:ascii="Times New Roman" w:hAnsi="Times New Roman"/>
          <w:sz w:val="24"/>
          <w:szCs w:val="24"/>
          <w:lang w:val="en-US"/>
        </w:rPr>
        <w:br/>
      </w:r>
      <w:r w:rsidRPr="00DC3FF0">
        <w:rPr>
          <w:rFonts w:ascii="Times New Roman" w:hAnsi="Times New Roman"/>
          <w:sz w:val="24"/>
          <w:szCs w:val="24"/>
          <w:shd w:val="clear" w:color="auto" w:fill="FFFFFF"/>
          <w:lang w:val="en-US"/>
        </w:rPr>
        <w:t xml:space="preserve">The survival rate was 85% at the end of the first year of treatment and 67% in the fifth year. The main causes of death were cardiovascular disease (34.4%), other causes (21.3%) and </w:t>
      </w:r>
      <w:r w:rsidRPr="00DC3FF0">
        <w:rPr>
          <w:rFonts w:ascii="Times New Roman" w:hAnsi="Times New Roman"/>
          <w:sz w:val="24"/>
          <w:szCs w:val="24"/>
          <w:shd w:val="clear" w:color="auto" w:fill="FFFFFF"/>
          <w:lang w:val="en-US"/>
        </w:rPr>
        <w:lastRenderedPageBreak/>
        <w:t xml:space="preserve">infectious diseases (16.4%). Values of </w:t>
      </w:r>
      <w:proofErr w:type="spellStart"/>
      <w:r w:rsidRPr="00DC3FF0">
        <w:rPr>
          <w:rFonts w:ascii="Times New Roman" w:hAnsi="Times New Roman"/>
          <w:sz w:val="24"/>
          <w:szCs w:val="24"/>
          <w:shd w:val="clear" w:color="auto" w:fill="FFFFFF"/>
          <w:lang w:val="en-US"/>
        </w:rPr>
        <w:t>Kt</w:t>
      </w:r>
      <w:proofErr w:type="spellEnd"/>
      <w:r w:rsidRPr="00DC3FF0">
        <w:rPr>
          <w:rFonts w:ascii="Times New Roman" w:hAnsi="Times New Roman"/>
          <w:sz w:val="24"/>
          <w:szCs w:val="24"/>
          <w:shd w:val="clear" w:color="auto" w:fill="FFFFFF"/>
          <w:lang w:val="en-US"/>
        </w:rPr>
        <w:t xml:space="preserve"> / V above 1.3, hemoglobin&gt; 7 g / </w:t>
      </w:r>
      <w:proofErr w:type="spellStart"/>
      <w:r w:rsidRPr="00DC3FF0">
        <w:rPr>
          <w:rFonts w:ascii="Times New Roman" w:hAnsi="Times New Roman"/>
          <w:sz w:val="24"/>
          <w:szCs w:val="24"/>
          <w:shd w:val="clear" w:color="auto" w:fill="FFFFFF"/>
          <w:lang w:val="en-US"/>
        </w:rPr>
        <w:t>dL</w:t>
      </w:r>
      <w:proofErr w:type="spellEnd"/>
      <w:r w:rsidRPr="00DC3FF0">
        <w:rPr>
          <w:rFonts w:ascii="Times New Roman" w:hAnsi="Times New Roman"/>
          <w:sz w:val="24"/>
          <w:szCs w:val="24"/>
          <w:shd w:val="clear" w:color="auto" w:fill="FFFFFF"/>
          <w:lang w:val="en-US"/>
        </w:rPr>
        <w:t xml:space="preserve">, ferritin between 200 and 800, PTH &lt;400, serum albumin&gt; 3.5 g / </w:t>
      </w:r>
      <w:proofErr w:type="spellStart"/>
      <w:r w:rsidRPr="00DC3FF0">
        <w:rPr>
          <w:rFonts w:ascii="Times New Roman" w:hAnsi="Times New Roman"/>
          <w:sz w:val="24"/>
          <w:szCs w:val="24"/>
          <w:shd w:val="clear" w:color="auto" w:fill="FFFFFF"/>
          <w:lang w:val="en-US"/>
        </w:rPr>
        <w:t>dL</w:t>
      </w:r>
      <w:proofErr w:type="spellEnd"/>
      <w:r w:rsidRPr="00DC3FF0">
        <w:rPr>
          <w:rFonts w:ascii="Times New Roman" w:hAnsi="Times New Roman"/>
          <w:sz w:val="24"/>
          <w:szCs w:val="24"/>
          <w:shd w:val="clear" w:color="auto" w:fill="FFFFFF"/>
          <w:lang w:val="en-US"/>
        </w:rPr>
        <w:t xml:space="preserve"> are associated with bett</w:t>
      </w:r>
      <w:r>
        <w:rPr>
          <w:rFonts w:ascii="Times New Roman" w:hAnsi="Times New Roman"/>
          <w:sz w:val="24"/>
          <w:szCs w:val="24"/>
          <w:shd w:val="clear" w:color="auto" w:fill="FFFFFF"/>
          <w:lang w:val="en-US"/>
        </w:rPr>
        <w:t>er survival rates. V</w:t>
      </w:r>
      <w:r w:rsidRPr="00DC3FF0">
        <w:rPr>
          <w:rFonts w:ascii="Times New Roman" w:hAnsi="Times New Roman"/>
          <w:sz w:val="24"/>
          <w:szCs w:val="24"/>
          <w:shd w:val="clear" w:color="auto" w:fill="FFFFFF"/>
          <w:lang w:val="en-US"/>
        </w:rPr>
        <w:t xml:space="preserve">ariables albumin, </w:t>
      </w:r>
      <w:proofErr w:type="spellStart"/>
      <w:r w:rsidRPr="00DC3FF0">
        <w:rPr>
          <w:rFonts w:ascii="Times New Roman" w:hAnsi="Times New Roman"/>
          <w:sz w:val="24"/>
          <w:szCs w:val="24"/>
          <w:shd w:val="clear" w:color="auto" w:fill="FFFFFF"/>
          <w:lang w:val="en-US"/>
        </w:rPr>
        <w:t>Kt</w:t>
      </w:r>
      <w:proofErr w:type="spellEnd"/>
      <w:r w:rsidRPr="00DC3FF0">
        <w:rPr>
          <w:rFonts w:ascii="Times New Roman" w:hAnsi="Times New Roman"/>
          <w:sz w:val="24"/>
          <w:szCs w:val="24"/>
          <w:shd w:val="clear" w:color="auto" w:fill="FFFFFF"/>
          <w:lang w:val="en-US"/>
        </w:rPr>
        <w:t xml:space="preserve"> / V, hemoglobin, ferritin and PTH are related to survival and factors are predictive of mortality risk for patients </w:t>
      </w:r>
      <w:proofErr w:type="spellStart"/>
      <w:r w:rsidRPr="00DC3FF0">
        <w:rPr>
          <w:rFonts w:ascii="Times New Roman" w:hAnsi="Times New Roman"/>
          <w:sz w:val="24"/>
          <w:szCs w:val="24"/>
          <w:shd w:val="clear" w:color="auto" w:fill="FFFFFF"/>
          <w:lang w:val="en-US"/>
        </w:rPr>
        <w:t>hemodyalisis</w:t>
      </w:r>
      <w:proofErr w:type="spellEnd"/>
      <w:r w:rsidRPr="00DC3FF0">
        <w:rPr>
          <w:rFonts w:ascii="Times New Roman" w:hAnsi="Times New Roman"/>
          <w:sz w:val="24"/>
          <w:szCs w:val="24"/>
          <w:shd w:val="clear" w:color="auto" w:fill="FFFFFF"/>
          <w:lang w:val="en-US"/>
        </w:rPr>
        <w:t>. To obtain good results prognosis compared to patients receiving hemodialysis treatment, it is essential that the variables analyzed in the study are properly evaluated.</w:t>
      </w:r>
    </w:p>
    <w:p w:rsidR="00B206A4" w:rsidRPr="00582C79" w:rsidRDefault="00B206A4" w:rsidP="00986AED">
      <w:pPr>
        <w:spacing w:after="0" w:line="360" w:lineRule="auto"/>
        <w:rPr>
          <w:rFonts w:ascii="Times New Roman" w:hAnsi="Times New Roman"/>
          <w:sz w:val="24"/>
          <w:szCs w:val="24"/>
          <w:lang w:val="en-US"/>
        </w:rPr>
      </w:pPr>
      <w:r w:rsidRPr="00DC3FF0">
        <w:rPr>
          <w:rFonts w:ascii="Times New Roman" w:hAnsi="Times New Roman"/>
          <w:sz w:val="24"/>
          <w:szCs w:val="24"/>
          <w:lang w:val="en-US"/>
        </w:rPr>
        <w:t xml:space="preserve">Key-words: </w:t>
      </w:r>
      <w:r w:rsidR="006412FB">
        <w:rPr>
          <w:rStyle w:val="hps"/>
          <w:rFonts w:ascii="Times New Roman" w:hAnsi="Times New Roman"/>
          <w:sz w:val="24"/>
          <w:szCs w:val="24"/>
          <w:lang w:val="en-US"/>
        </w:rPr>
        <w:t>Renal Insufficiency, Chronic</w:t>
      </w:r>
      <w:r w:rsidRPr="00DC3FF0">
        <w:rPr>
          <w:rFonts w:ascii="Times New Roman" w:hAnsi="Times New Roman"/>
          <w:sz w:val="24"/>
          <w:szCs w:val="24"/>
          <w:lang w:val="en-US"/>
        </w:rPr>
        <w:t xml:space="preserve">. </w:t>
      </w:r>
      <w:r w:rsidR="006412FB" w:rsidRPr="006412FB">
        <w:rPr>
          <w:rFonts w:ascii="Times New Roman" w:hAnsi="Times New Roman"/>
          <w:bCs/>
          <w:sz w:val="24"/>
          <w:szCs w:val="24"/>
          <w:lang w:val="en-US"/>
        </w:rPr>
        <w:t>Hemodialysis Units, Hospital.</w:t>
      </w:r>
      <w:r w:rsidR="00AC634D">
        <w:rPr>
          <w:rFonts w:ascii="Times New Roman" w:hAnsi="Times New Roman"/>
          <w:bCs/>
          <w:sz w:val="24"/>
          <w:szCs w:val="24"/>
          <w:lang w:val="en-US"/>
        </w:rPr>
        <w:t xml:space="preserve"> </w:t>
      </w:r>
      <w:r w:rsidR="006412FB" w:rsidRPr="006412FB">
        <w:rPr>
          <w:rFonts w:ascii="Times New Roman" w:hAnsi="Times New Roman"/>
          <w:bCs/>
          <w:sz w:val="24"/>
          <w:szCs w:val="24"/>
          <w:lang w:val="en-US"/>
        </w:rPr>
        <w:t>Survival Analysis</w:t>
      </w:r>
      <w:r w:rsidRPr="006412FB">
        <w:rPr>
          <w:rFonts w:ascii="Times New Roman" w:hAnsi="Times New Roman"/>
          <w:sz w:val="24"/>
          <w:szCs w:val="24"/>
          <w:lang w:val="en-US"/>
        </w:rPr>
        <w:t xml:space="preserve">. </w:t>
      </w:r>
      <w:r w:rsidRPr="00582C79">
        <w:rPr>
          <w:rFonts w:ascii="Times New Roman" w:hAnsi="Times New Roman"/>
          <w:sz w:val="24"/>
          <w:szCs w:val="24"/>
          <w:lang w:val="en-US"/>
        </w:rPr>
        <w:t>Mortality</w:t>
      </w:r>
    </w:p>
    <w:p w:rsidR="00B206A4" w:rsidRPr="00582C79" w:rsidRDefault="00B206A4" w:rsidP="00BC2F0A">
      <w:pPr>
        <w:spacing w:after="0" w:line="360" w:lineRule="auto"/>
        <w:rPr>
          <w:rFonts w:ascii="Times New Roman" w:hAnsi="Times New Roman"/>
          <w:sz w:val="24"/>
          <w:szCs w:val="24"/>
          <w:lang w:val="en-US"/>
        </w:rPr>
      </w:pPr>
    </w:p>
    <w:p w:rsidR="00D94E79" w:rsidRPr="00582C79" w:rsidRDefault="00D94E79" w:rsidP="00646EB0">
      <w:pPr>
        <w:spacing w:after="0" w:line="360" w:lineRule="auto"/>
        <w:rPr>
          <w:b/>
          <w:color w:val="000000"/>
          <w:highlight w:val="yellow"/>
          <w:lang w:val="en-US"/>
        </w:rPr>
      </w:pPr>
      <w:r w:rsidRPr="00582C79">
        <w:rPr>
          <w:rFonts w:ascii="Times New Roman" w:hAnsi="Times New Roman"/>
          <w:b/>
          <w:color w:val="000000"/>
          <w:sz w:val="24"/>
          <w:szCs w:val="24"/>
          <w:lang w:val="en-US" w:eastAsia="pt-BR"/>
        </w:rPr>
        <w:t xml:space="preserve">REFERÊNCIAS </w:t>
      </w:r>
    </w:p>
    <w:p w:rsidR="00B206A4" w:rsidRPr="00DC3FF0" w:rsidRDefault="00BE135C" w:rsidP="00DC3FF0">
      <w:pPr>
        <w:spacing w:after="0" w:line="360" w:lineRule="auto"/>
        <w:rPr>
          <w:rFonts w:ascii="Times New Roman" w:hAnsi="Times New Roman"/>
          <w:sz w:val="24"/>
          <w:szCs w:val="24"/>
          <w:lang w:val="en-US" w:eastAsia="pt-BR"/>
        </w:rPr>
      </w:pPr>
      <w:hyperlink r:id="rId9" w:history="1">
        <w:r w:rsidR="00B206A4" w:rsidRPr="006412FB">
          <w:rPr>
            <w:rStyle w:val="Hyperlink"/>
            <w:rFonts w:ascii="Times New Roman" w:hAnsi="Times New Roman"/>
            <w:color w:val="auto"/>
            <w:sz w:val="24"/>
            <w:szCs w:val="24"/>
            <w:u w:val="none"/>
            <w:lang w:val="en-US" w:eastAsia="pt-BR"/>
          </w:rPr>
          <w:t>AJIRO, J</w:t>
        </w:r>
      </w:hyperlink>
      <w:r w:rsidR="00B206A4" w:rsidRPr="006412FB">
        <w:rPr>
          <w:rFonts w:ascii="Times New Roman" w:hAnsi="Times New Roman"/>
          <w:sz w:val="24"/>
          <w:szCs w:val="24"/>
          <w:lang w:val="en-US" w:eastAsia="pt-BR"/>
        </w:rPr>
        <w:t xml:space="preserve">. et al. </w:t>
      </w:r>
      <w:r w:rsidR="00B206A4" w:rsidRPr="00DC3FF0">
        <w:rPr>
          <w:rFonts w:ascii="Times New Roman" w:hAnsi="Times New Roman"/>
          <w:sz w:val="24"/>
          <w:szCs w:val="24"/>
          <w:lang w:val="en-US" w:eastAsia="pt-BR"/>
        </w:rPr>
        <w:t>Mortality predictors after 10 years of dialysis: a prospective study of Japanese hemodialysis patients.</w:t>
      </w:r>
      <w:r w:rsidR="00B206A4" w:rsidRPr="00DC3FF0">
        <w:rPr>
          <w:rFonts w:ascii="Times New Roman" w:hAnsi="Times New Roman"/>
          <w:b/>
          <w:bCs/>
          <w:sz w:val="24"/>
          <w:szCs w:val="24"/>
          <w:lang w:val="en-US" w:eastAsia="pt-BR"/>
        </w:rPr>
        <w:t xml:space="preserve"> Clinical Journal of the American Society of </w:t>
      </w:r>
      <w:proofErr w:type="spellStart"/>
      <w:r w:rsidR="00B206A4" w:rsidRPr="00DC3FF0">
        <w:rPr>
          <w:rFonts w:ascii="Times New Roman" w:hAnsi="Times New Roman"/>
          <w:b/>
          <w:bCs/>
          <w:sz w:val="24"/>
          <w:szCs w:val="24"/>
          <w:lang w:val="en-US" w:eastAsia="pt-BR"/>
        </w:rPr>
        <w:t>Nefhrology</w:t>
      </w:r>
      <w:proofErr w:type="spellEnd"/>
      <w:r w:rsidR="00B206A4" w:rsidRPr="00DC3FF0">
        <w:rPr>
          <w:rFonts w:ascii="Times New Roman" w:hAnsi="Times New Roman"/>
          <w:bCs/>
          <w:sz w:val="24"/>
          <w:szCs w:val="24"/>
          <w:lang w:val="en-US" w:eastAsia="pt-BR"/>
        </w:rPr>
        <w:t>, Washington,</w:t>
      </w:r>
      <w:r w:rsidR="00B206A4" w:rsidRPr="00DC3FF0">
        <w:rPr>
          <w:rFonts w:ascii="Times New Roman" w:hAnsi="Times New Roman"/>
          <w:i/>
          <w:iCs/>
          <w:sz w:val="24"/>
          <w:szCs w:val="24"/>
          <w:lang w:val="en-US" w:eastAsia="pt-BR"/>
        </w:rPr>
        <w:t xml:space="preserve"> </w:t>
      </w:r>
      <w:r w:rsidR="00B206A4" w:rsidRPr="00DC3FF0">
        <w:rPr>
          <w:rFonts w:ascii="Times New Roman" w:hAnsi="Times New Roman"/>
          <w:sz w:val="24"/>
          <w:szCs w:val="24"/>
          <w:lang w:val="en-US" w:eastAsia="pt-BR"/>
        </w:rPr>
        <w:t>v.2, n</w:t>
      </w:r>
      <w:r w:rsidR="00D94E79">
        <w:rPr>
          <w:rFonts w:ascii="Times New Roman" w:hAnsi="Times New Roman"/>
          <w:sz w:val="24"/>
          <w:szCs w:val="24"/>
          <w:lang w:val="en-US" w:eastAsia="pt-BR"/>
        </w:rPr>
        <w:t>o</w:t>
      </w:r>
      <w:r w:rsidR="00B206A4" w:rsidRPr="00DC3FF0">
        <w:rPr>
          <w:rFonts w:ascii="Times New Roman" w:hAnsi="Times New Roman"/>
          <w:sz w:val="24"/>
          <w:szCs w:val="24"/>
          <w:lang w:val="en-US" w:eastAsia="pt-BR"/>
        </w:rPr>
        <w:t>.4, p.653-660, 2007.</w:t>
      </w:r>
    </w:p>
    <w:p w:rsidR="00B206A4" w:rsidRPr="00DC3FF0" w:rsidRDefault="00B206A4" w:rsidP="00BC2F0A">
      <w:pPr>
        <w:spacing w:after="0" w:line="360" w:lineRule="auto"/>
        <w:rPr>
          <w:rFonts w:ascii="Times New Roman" w:hAnsi="Times New Roman"/>
          <w:sz w:val="24"/>
          <w:szCs w:val="24"/>
          <w:lang w:val="en-US" w:eastAsia="pt-BR"/>
        </w:rPr>
      </w:pPr>
    </w:p>
    <w:p w:rsidR="00B206A4" w:rsidRPr="00DC3FF0" w:rsidRDefault="00B206A4" w:rsidP="00DC3FF0">
      <w:pPr>
        <w:spacing w:after="0" w:line="360" w:lineRule="auto"/>
        <w:rPr>
          <w:rFonts w:ascii="Times New Roman" w:hAnsi="Times New Roman"/>
          <w:color w:val="000000"/>
          <w:sz w:val="24"/>
          <w:szCs w:val="24"/>
        </w:rPr>
      </w:pPr>
      <w:r w:rsidRPr="00DC3FF0">
        <w:rPr>
          <w:rFonts w:ascii="Times New Roman" w:hAnsi="Times New Roman"/>
          <w:color w:val="000000"/>
          <w:sz w:val="24"/>
          <w:szCs w:val="24"/>
        </w:rPr>
        <w:t>ALMEIDA, F.A.</w:t>
      </w:r>
      <w:r>
        <w:rPr>
          <w:rFonts w:ascii="Times New Roman" w:hAnsi="Times New Roman"/>
          <w:color w:val="000000"/>
          <w:sz w:val="24"/>
          <w:szCs w:val="24"/>
        </w:rPr>
        <w:t xml:space="preserve"> et al.</w:t>
      </w:r>
      <w:r w:rsidRPr="00DC3FF0">
        <w:rPr>
          <w:rFonts w:ascii="Times New Roman" w:hAnsi="Times New Roman"/>
          <w:color w:val="000000"/>
          <w:sz w:val="24"/>
          <w:szCs w:val="24"/>
        </w:rPr>
        <w:t xml:space="preserve"> Mortalidade global e cardiovascular e fatores de risco de pacientes em hemodiálise.</w:t>
      </w:r>
      <w:r w:rsidRPr="00DC3FF0">
        <w:rPr>
          <w:rStyle w:val="apple-converted-space"/>
          <w:rFonts w:ascii="Times New Roman" w:hAnsi="Times New Roman"/>
          <w:i/>
          <w:iCs/>
          <w:color w:val="000000"/>
          <w:sz w:val="24"/>
          <w:szCs w:val="24"/>
        </w:rPr>
        <w:t> </w:t>
      </w:r>
      <w:r w:rsidRPr="00DC3FF0">
        <w:rPr>
          <w:rFonts w:ascii="Times New Roman" w:hAnsi="Times New Roman"/>
          <w:b/>
          <w:iCs/>
          <w:color w:val="000000"/>
          <w:sz w:val="24"/>
          <w:szCs w:val="24"/>
        </w:rPr>
        <w:t>Arquivos Brasileiros de Cardiologia</w:t>
      </w:r>
      <w:r w:rsidRPr="00DC3FF0">
        <w:rPr>
          <w:rFonts w:ascii="Times New Roman" w:hAnsi="Times New Roman"/>
          <w:color w:val="000000"/>
          <w:sz w:val="24"/>
          <w:szCs w:val="24"/>
        </w:rPr>
        <w:t>, São Paulo, v.94, n.2, p. 201-206, 2010.</w:t>
      </w:r>
      <w:r w:rsidRPr="00DC3FF0">
        <w:rPr>
          <w:rFonts w:ascii="Times New Roman" w:hAnsi="Times New Roman"/>
          <w:i/>
          <w:iCs/>
          <w:color w:val="2DD46E"/>
          <w:sz w:val="24"/>
          <w:szCs w:val="24"/>
        </w:rPr>
        <w:t xml:space="preserve"> </w:t>
      </w:r>
    </w:p>
    <w:p w:rsidR="00B206A4" w:rsidRPr="00DC3FF0" w:rsidRDefault="00B206A4" w:rsidP="00BC2F0A">
      <w:pPr>
        <w:spacing w:after="0" w:line="360" w:lineRule="auto"/>
        <w:ind w:firstLine="60"/>
        <w:rPr>
          <w:rStyle w:val="apple-converted-space"/>
          <w:rFonts w:ascii="Times New Roman" w:hAnsi="Times New Roman"/>
          <w:sz w:val="24"/>
          <w:szCs w:val="24"/>
          <w:lang w:eastAsia="pt-BR"/>
        </w:rPr>
      </w:pPr>
    </w:p>
    <w:p w:rsidR="00B206A4" w:rsidRPr="00DC3FF0" w:rsidRDefault="00B206A4" w:rsidP="00DC3FF0">
      <w:pPr>
        <w:spacing w:after="0" w:line="360" w:lineRule="auto"/>
        <w:rPr>
          <w:rFonts w:ascii="Times New Roman" w:hAnsi="Times New Roman"/>
          <w:color w:val="000000"/>
          <w:sz w:val="24"/>
          <w:szCs w:val="24"/>
        </w:rPr>
      </w:pPr>
      <w:r w:rsidRPr="006412FB">
        <w:rPr>
          <w:rFonts w:ascii="Times New Roman" w:hAnsi="Times New Roman"/>
          <w:color w:val="000000"/>
          <w:sz w:val="24"/>
          <w:szCs w:val="24"/>
        </w:rPr>
        <w:t xml:space="preserve">AMMIRATI, A. L. et al. </w:t>
      </w:r>
      <w:r w:rsidRPr="00DC3FF0">
        <w:rPr>
          <w:rFonts w:ascii="Times New Roman" w:hAnsi="Times New Roman"/>
          <w:color w:val="000000"/>
          <w:sz w:val="24"/>
          <w:szCs w:val="24"/>
        </w:rPr>
        <w:t xml:space="preserve">Variação dos níveis de hemoglobina de pacientes em hemodiálise tratados com </w:t>
      </w:r>
      <w:proofErr w:type="spellStart"/>
      <w:r w:rsidRPr="00DC3FF0">
        <w:rPr>
          <w:rFonts w:ascii="Times New Roman" w:hAnsi="Times New Roman"/>
          <w:color w:val="000000"/>
          <w:sz w:val="24"/>
          <w:szCs w:val="24"/>
        </w:rPr>
        <w:t>eritropoetina</w:t>
      </w:r>
      <w:proofErr w:type="spellEnd"/>
      <w:r w:rsidRPr="00DC3FF0">
        <w:rPr>
          <w:rFonts w:ascii="Times New Roman" w:hAnsi="Times New Roman"/>
          <w:color w:val="000000"/>
          <w:sz w:val="24"/>
          <w:szCs w:val="24"/>
        </w:rPr>
        <w:t>: uma experiência brasileira.</w:t>
      </w:r>
      <w:r w:rsidRPr="00DC3FF0">
        <w:rPr>
          <w:rStyle w:val="apple-converted-space"/>
          <w:rFonts w:ascii="Times New Roman" w:hAnsi="Times New Roman"/>
          <w:i/>
          <w:iCs/>
          <w:color w:val="000000"/>
          <w:sz w:val="24"/>
          <w:szCs w:val="24"/>
        </w:rPr>
        <w:t> </w:t>
      </w:r>
      <w:r w:rsidRPr="00DC3FF0">
        <w:rPr>
          <w:rFonts w:ascii="Times New Roman" w:hAnsi="Times New Roman"/>
          <w:b/>
          <w:iCs/>
          <w:color w:val="000000"/>
          <w:sz w:val="24"/>
          <w:szCs w:val="24"/>
        </w:rPr>
        <w:t xml:space="preserve">Revista da Associação Médica </w:t>
      </w:r>
      <w:proofErr w:type="spellStart"/>
      <w:r w:rsidRPr="00DC3FF0">
        <w:rPr>
          <w:rFonts w:ascii="Times New Roman" w:hAnsi="Times New Roman"/>
          <w:b/>
          <w:iCs/>
          <w:color w:val="000000"/>
          <w:sz w:val="24"/>
          <w:szCs w:val="24"/>
        </w:rPr>
        <w:t>Brasileira</w:t>
      </w:r>
      <w:r w:rsidRPr="00DC3FF0">
        <w:rPr>
          <w:rFonts w:ascii="Times New Roman" w:hAnsi="Times New Roman"/>
          <w:i/>
          <w:iCs/>
          <w:color w:val="000000"/>
          <w:sz w:val="24"/>
          <w:szCs w:val="24"/>
        </w:rPr>
        <w:t>,</w:t>
      </w:r>
      <w:r w:rsidRPr="00DC3FF0">
        <w:rPr>
          <w:rFonts w:ascii="Times New Roman" w:hAnsi="Times New Roman"/>
          <w:iCs/>
          <w:color w:val="000000"/>
          <w:sz w:val="24"/>
          <w:szCs w:val="24"/>
        </w:rPr>
        <w:t>São</w:t>
      </w:r>
      <w:proofErr w:type="spellEnd"/>
      <w:r w:rsidRPr="00DC3FF0">
        <w:rPr>
          <w:rFonts w:ascii="Times New Roman" w:hAnsi="Times New Roman"/>
          <w:iCs/>
          <w:color w:val="000000"/>
          <w:sz w:val="24"/>
          <w:szCs w:val="24"/>
        </w:rPr>
        <w:t xml:space="preserve"> Paulo,</w:t>
      </w:r>
      <w:r w:rsidRPr="00DC3FF0">
        <w:rPr>
          <w:rFonts w:ascii="Times New Roman" w:hAnsi="Times New Roman"/>
          <w:i/>
          <w:iCs/>
          <w:color w:val="000000"/>
          <w:sz w:val="24"/>
          <w:szCs w:val="24"/>
        </w:rPr>
        <w:t xml:space="preserve"> </w:t>
      </w:r>
      <w:r w:rsidRPr="00DC3FF0">
        <w:rPr>
          <w:rFonts w:ascii="Times New Roman" w:hAnsi="Times New Roman"/>
          <w:iCs/>
          <w:color w:val="000000"/>
          <w:sz w:val="24"/>
          <w:szCs w:val="24"/>
        </w:rPr>
        <w:t>v</w:t>
      </w:r>
      <w:r w:rsidRPr="00DC3FF0">
        <w:rPr>
          <w:rFonts w:ascii="Times New Roman" w:hAnsi="Times New Roman"/>
          <w:color w:val="000000"/>
          <w:sz w:val="24"/>
          <w:szCs w:val="24"/>
        </w:rPr>
        <w:t>. 56, n.2, p. 209-213, 2010.</w:t>
      </w:r>
    </w:p>
    <w:p w:rsidR="00B206A4" w:rsidRPr="00DC3FF0" w:rsidRDefault="00B206A4" w:rsidP="00D23B8C">
      <w:pPr>
        <w:spacing w:after="0" w:line="360" w:lineRule="auto"/>
        <w:rPr>
          <w:rFonts w:ascii="Times New Roman" w:hAnsi="Times New Roman"/>
          <w:color w:val="000000"/>
          <w:sz w:val="24"/>
          <w:szCs w:val="24"/>
        </w:rPr>
      </w:pPr>
    </w:p>
    <w:p w:rsidR="00B206A4" w:rsidRPr="00DC3FF0" w:rsidRDefault="00B206A4" w:rsidP="00DC3FF0">
      <w:pPr>
        <w:spacing w:after="0" w:line="360" w:lineRule="auto"/>
        <w:rPr>
          <w:rFonts w:ascii="Times New Roman" w:hAnsi="Times New Roman"/>
          <w:color w:val="000000"/>
          <w:sz w:val="24"/>
          <w:szCs w:val="24"/>
          <w:lang w:eastAsia="pt-BR"/>
        </w:rPr>
      </w:pPr>
      <w:r w:rsidRPr="00DC3FF0">
        <w:rPr>
          <w:rFonts w:ascii="Times New Roman" w:hAnsi="Times New Roman"/>
          <w:color w:val="000000"/>
          <w:sz w:val="24"/>
          <w:szCs w:val="24"/>
          <w:lang w:eastAsia="pt-BR"/>
        </w:rPr>
        <w:t xml:space="preserve">ARANTES, R. L. Avaliação do risco cardiovascular em pacientes com doença renal crônica – Importância e limitações dos diferentes métodos. </w:t>
      </w:r>
      <w:r w:rsidRPr="00DC3FF0">
        <w:rPr>
          <w:rFonts w:ascii="Times New Roman" w:hAnsi="Times New Roman"/>
          <w:b/>
          <w:color w:val="000000"/>
          <w:sz w:val="24"/>
          <w:szCs w:val="24"/>
          <w:lang w:eastAsia="pt-BR"/>
        </w:rPr>
        <w:t>Revista Brasileira de Hipertensão</w:t>
      </w:r>
      <w:r w:rsidRPr="00DC3FF0">
        <w:rPr>
          <w:rFonts w:ascii="Times New Roman" w:hAnsi="Times New Roman"/>
          <w:color w:val="000000"/>
          <w:sz w:val="24"/>
          <w:szCs w:val="24"/>
          <w:lang w:eastAsia="pt-BR"/>
        </w:rPr>
        <w:t>, Rio de Janeiro, v. 15, n.3, p.173-176, 2008.</w:t>
      </w:r>
    </w:p>
    <w:p w:rsidR="00B206A4" w:rsidRPr="00DC3FF0" w:rsidRDefault="00B206A4" w:rsidP="00BC2F0A">
      <w:pPr>
        <w:spacing w:after="0" w:line="360" w:lineRule="auto"/>
        <w:rPr>
          <w:rFonts w:ascii="Times New Roman" w:hAnsi="Times New Roman"/>
          <w:color w:val="000000"/>
          <w:sz w:val="24"/>
          <w:szCs w:val="24"/>
        </w:rPr>
      </w:pPr>
    </w:p>
    <w:p w:rsidR="00B206A4" w:rsidRPr="00DC3FF0" w:rsidRDefault="00B206A4" w:rsidP="00DC3FF0">
      <w:pPr>
        <w:spacing w:after="0" w:line="360" w:lineRule="auto"/>
        <w:rPr>
          <w:rFonts w:ascii="Times New Roman" w:hAnsi="Times New Roman"/>
          <w:sz w:val="24"/>
          <w:szCs w:val="24"/>
          <w:lang w:eastAsia="pt-BR"/>
        </w:rPr>
      </w:pPr>
      <w:r w:rsidRPr="00FE3D83">
        <w:rPr>
          <w:rFonts w:ascii="Times New Roman" w:hAnsi="Times New Roman"/>
          <w:sz w:val="24"/>
          <w:szCs w:val="24"/>
          <w:lang w:val="it-IT" w:eastAsia="pt-BR"/>
        </w:rPr>
        <w:t xml:space="preserve">AZEVEDO, D. F. et al. </w:t>
      </w:r>
      <w:r w:rsidRPr="00DC3FF0">
        <w:rPr>
          <w:rFonts w:ascii="Times New Roman" w:hAnsi="Times New Roman"/>
          <w:sz w:val="24"/>
          <w:szCs w:val="24"/>
          <w:lang w:eastAsia="pt-BR"/>
        </w:rPr>
        <w:t xml:space="preserve">Sobrevida e causas de mortalidade em pacientes </w:t>
      </w:r>
      <w:proofErr w:type="spellStart"/>
      <w:r w:rsidRPr="00DC3FF0">
        <w:rPr>
          <w:rFonts w:ascii="Times New Roman" w:hAnsi="Times New Roman"/>
          <w:sz w:val="24"/>
          <w:szCs w:val="24"/>
          <w:lang w:eastAsia="pt-BR"/>
        </w:rPr>
        <w:t>hemodialíticos</w:t>
      </w:r>
      <w:proofErr w:type="spellEnd"/>
      <w:r w:rsidRPr="00DC3FF0">
        <w:rPr>
          <w:rFonts w:ascii="Times New Roman" w:hAnsi="Times New Roman"/>
          <w:sz w:val="24"/>
          <w:szCs w:val="24"/>
          <w:lang w:eastAsia="pt-BR"/>
        </w:rPr>
        <w:t xml:space="preserve">. </w:t>
      </w:r>
      <w:r w:rsidRPr="00DC3FF0">
        <w:rPr>
          <w:rFonts w:ascii="Times New Roman" w:hAnsi="Times New Roman"/>
          <w:b/>
          <w:bCs/>
          <w:sz w:val="24"/>
          <w:szCs w:val="24"/>
          <w:lang w:eastAsia="pt-BR"/>
        </w:rPr>
        <w:t>Revista Médica Minas Gerais</w:t>
      </w:r>
      <w:r w:rsidRPr="00DC3FF0">
        <w:rPr>
          <w:rFonts w:ascii="Times New Roman" w:hAnsi="Times New Roman"/>
          <w:bCs/>
          <w:sz w:val="24"/>
          <w:szCs w:val="24"/>
          <w:lang w:eastAsia="pt-BR"/>
        </w:rPr>
        <w:t>,</w:t>
      </w:r>
      <w:r w:rsidRPr="00DC3FF0">
        <w:rPr>
          <w:rFonts w:ascii="Times New Roman" w:hAnsi="Times New Roman"/>
          <w:b/>
          <w:bCs/>
          <w:sz w:val="24"/>
          <w:szCs w:val="24"/>
          <w:lang w:eastAsia="pt-BR"/>
        </w:rPr>
        <w:t xml:space="preserve"> </w:t>
      </w:r>
      <w:r w:rsidRPr="00DC3FF0">
        <w:rPr>
          <w:rFonts w:ascii="Times New Roman" w:hAnsi="Times New Roman"/>
          <w:sz w:val="24"/>
          <w:szCs w:val="24"/>
          <w:lang w:eastAsia="pt-BR"/>
        </w:rPr>
        <w:t xml:space="preserve">Belo Horizonte, v.19, n.2, p.117-122, 2009. </w:t>
      </w:r>
    </w:p>
    <w:p w:rsidR="00B206A4" w:rsidRPr="00DC3FF0" w:rsidRDefault="00B206A4" w:rsidP="00D23B8C">
      <w:pPr>
        <w:pStyle w:val="PargrafodaLista"/>
        <w:spacing w:after="0" w:line="360" w:lineRule="auto"/>
        <w:rPr>
          <w:rFonts w:ascii="Times New Roman" w:hAnsi="Times New Roman"/>
          <w:color w:val="000000"/>
          <w:sz w:val="24"/>
          <w:szCs w:val="24"/>
          <w:lang w:eastAsia="pt-BR"/>
        </w:rPr>
      </w:pPr>
    </w:p>
    <w:p w:rsidR="00B206A4" w:rsidRPr="00DC3FF0" w:rsidRDefault="00B206A4" w:rsidP="00DC3FF0">
      <w:pPr>
        <w:spacing w:after="0" w:line="360" w:lineRule="auto"/>
        <w:rPr>
          <w:rFonts w:ascii="Times New Roman" w:hAnsi="Times New Roman"/>
          <w:color w:val="000000"/>
          <w:sz w:val="24"/>
          <w:szCs w:val="24"/>
          <w:lang w:eastAsia="pt-BR"/>
        </w:rPr>
      </w:pPr>
      <w:r w:rsidRPr="00FE3D83">
        <w:rPr>
          <w:rFonts w:ascii="Times New Roman" w:hAnsi="Times New Roman"/>
          <w:color w:val="000000"/>
          <w:sz w:val="24"/>
          <w:szCs w:val="24"/>
          <w:lang w:val="it-IT" w:eastAsia="pt-BR"/>
        </w:rPr>
        <w:t xml:space="preserve">BARBERATO, S. H. et al. </w:t>
      </w:r>
      <w:r w:rsidRPr="00DC3FF0">
        <w:rPr>
          <w:rFonts w:ascii="Times New Roman" w:hAnsi="Times New Roman"/>
          <w:color w:val="000000"/>
          <w:sz w:val="24"/>
          <w:szCs w:val="24"/>
          <w:lang w:eastAsia="pt-BR"/>
        </w:rPr>
        <w:t>Alterações ecocardiográficas em pacientes com insuficiência renal crônica em programa de hemodiálise.</w:t>
      </w:r>
      <w:r w:rsidRPr="00DC3FF0">
        <w:rPr>
          <w:rFonts w:ascii="Times New Roman" w:hAnsi="Times New Roman"/>
          <w:i/>
          <w:iCs/>
          <w:color w:val="000000"/>
          <w:sz w:val="24"/>
          <w:szCs w:val="24"/>
          <w:lang w:eastAsia="pt-BR"/>
        </w:rPr>
        <w:t xml:space="preserve"> </w:t>
      </w:r>
      <w:r w:rsidRPr="00DC3FF0">
        <w:rPr>
          <w:rFonts w:ascii="Times New Roman" w:hAnsi="Times New Roman"/>
          <w:b/>
          <w:bCs/>
          <w:color w:val="000000"/>
          <w:sz w:val="24"/>
          <w:szCs w:val="24"/>
          <w:lang w:eastAsia="pt-BR"/>
        </w:rPr>
        <w:t>Arquivo Brasileiro de Cardiologia</w:t>
      </w:r>
      <w:r w:rsidRPr="00DC3FF0">
        <w:rPr>
          <w:rFonts w:ascii="Times New Roman" w:hAnsi="Times New Roman"/>
          <w:bCs/>
          <w:color w:val="000000"/>
          <w:sz w:val="24"/>
          <w:szCs w:val="24"/>
          <w:lang w:eastAsia="pt-BR"/>
        </w:rPr>
        <w:t>, São Paulo,</w:t>
      </w:r>
      <w:r w:rsidRPr="00DC3FF0">
        <w:rPr>
          <w:rFonts w:ascii="Times New Roman" w:hAnsi="Times New Roman"/>
          <w:color w:val="000000"/>
          <w:sz w:val="24"/>
          <w:szCs w:val="24"/>
          <w:lang w:eastAsia="pt-BR"/>
        </w:rPr>
        <w:t xml:space="preserve"> v.94, n.1, p.140-146, 2010.</w:t>
      </w:r>
    </w:p>
    <w:p w:rsidR="00B206A4" w:rsidRPr="00DC3FF0" w:rsidRDefault="00B206A4" w:rsidP="00BC2F0A">
      <w:pPr>
        <w:spacing w:after="0" w:line="360" w:lineRule="auto"/>
        <w:rPr>
          <w:rFonts w:ascii="Times New Roman" w:hAnsi="Times New Roman"/>
          <w:b/>
          <w:color w:val="FF0000"/>
          <w:sz w:val="24"/>
          <w:szCs w:val="24"/>
          <w:lang w:eastAsia="pt-BR"/>
        </w:rPr>
      </w:pPr>
    </w:p>
    <w:p w:rsidR="00B206A4" w:rsidRPr="00582C79" w:rsidRDefault="00B206A4" w:rsidP="00DC3FF0">
      <w:pPr>
        <w:pStyle w:val="Ttulo3"/>
        <w:spacing w:before="0" w:line="360" w:lineRule="auto"/>
        <w:rPr>
          <w:rFonts w:ascii="Times New Roman" w:hAnsi="Times New Roman"/>
          <w:b w:val="0"/>
          <w:bCs w:val="0"/>
          <w:color w:val="000000"/>
          <w:sz w:val="24"/>
          <w:szCs w:val="24"/>
          <w:lang w:val="en-US"/>
        </w:rPr>
      </w:pPr>
      <w:r w:rsidRPr="00DC3FF0">
        <w:rPr>
          <w:rFonts w:ascii="Times New Roman" w:hAnsi="Times New Roman"/>
          <w:b w:val="0"/>
          <w:bCs w:val="0"/>
          <w:color w:val="000000"/>
          <w:sz w:val="24"/>
          <w:szCs w:val="24"/>
        </w:rPr>
        <w:t xml:space="preserve">BARBOSA, D. A. </w:t>
      </w:r>
      <w:proofErr w:type="gramStart"/>
      <w:r w:rsidRPr="00DC3FF0">
        <w:rPr>
          <w:rFonts w:ascii="Times New Roman" w:hAnsi="Times New Roman"/>
          <w:b w:val="0"/>
          <w:bCs w:val="0"/>
          <w:color w:val="000000"/>
          <w:sz w:val="24"/>
          <w:szCs w:val="24"/>
        </w:rPr>
        <w:t>et</w:t>
      </w:r>
      <w:proofErr w:type="gramEnd"/>
      <w:r w:rsidRPr="00DC3FF0">
        <w:rPr>
          <w:rFonts w:ascii="Times New Roman" w:hAnsi="Times New Roman"/>
          <w:b w:val="0"/>
          <w:bCs w:val="0"/>
          <w:color w:val="000000"/>
          <w:sz w:val="24"/>
          <w:szCs w:val="24"/>
        </w:rPr>
        <w:t xml:space="preserve"> al. </w:t>
      </w:r>
      <w:proofErr w:type="spellStart"/>
      <w:r w:rsidRPr="00DC3FF0">
        <w:rPr>
          <w:rFonts w:ascii="Times New Roman" w:hAnsi="Times New Roman"/>
          <w:b w:val="0"/>
          <w:bCs w:val="0"/>
          <w:color w:val="000000"/>
          <w:sz w:val="24"/>
          <w:szCs w:val="24"/>
        </w:rPr>
        <w:t>Co-morbidade</w:t>
      </w:r>
      <w:proofErr w:type="spellEnd"/>
      <w:r w:rsidRPr="00DC3FF0">
        <w:rPr>
          <w:rFonts w:ascii="Times New Roman" w:hAnsi="Times New Roman"/>
          <w:b w:val="0"/>
          <w:bCs w:val="0"/>
          <w:color w:val="000000"/>
          <w:sz w:val="24"/>
          <w:szCs w:val="24"/>
        </w:rPr>
        <w:t xml:space="preserve"> e mortalidade de pacientes em início de diálise</w:t>
      </w:r>
      <w:r w:rsidRPr="00DC3FF0">
        <w:rPr>
          <w:rFonts w:ascii="Times New Roman" w:hAnsi="Times New Roman"/>
          <w:bCs w:val="0"/>
          <w:color w:val="000000"/>
          <w:sz w:val="24"/>
          <w:szCs w:val="24"/>
        </w:rPr>
        <w:t>.</w:t>
      </w:r>
      <w:r w:rsidRPr="00DC3FF0">
        <w:rPr>
          <w:rStyle w:val="apple-converted-space"/>
          <w:rFonts w:ascii="Times New Roman" w:hAnsi="Times New Roman"/>
          <w:i/>
          <w:iCs/>
          <w:color w:val="000000"/>
          <w:sz w:val="24"/>
          <w:szCs w:val="24"/>
        </w:rPr>
        <w:t> </w:t>
      </w:r>
      <w:r w:rsidRPr="00582C79">
        <w:rPr>
          <w:rFonts w:ascii="Times New Roman" w:hAnsi="Times New Roman"/>
          <w:bCs w:val="0"/>
          <w:iCs/>
          <w:color w:val="000000"/>
          <w:sz w:val="24"/>
          <w:szCs w:val="24"/>
          <w:lang w:val="en-US"/>
        </w:rPr>
        <w:t>Acta Paulista de enfermagem</w:t>
      </w:r>
      <w:r w:rsidRPr="00582C79">
        <w:rPr>
          <w:rFonts w:ascii="Times New Roman" w:hAnsi="Times New Roman"/>
          <w:b w:val="0"/>
          <w:bCs w:val="0"/>
          <w:iCs/>
          <w:color w:val="000000"/>
          <w:sz w:val="24"/>
          <w:szCs w:val="24"/>
          <w:lang w:val="en-US"/>
        </w:rPr>
        <w:t>, São Paulo,</w:t>
      </w:r>
      <w:r w:rsidRPr="00582C79">
        <w:rPr>
          <w:rFonts w:ascii="Times New Roman" w:hAnsi="Times New Roman"/>
          <w:b w:val="0"/>
          <w:bCs w:val="0"/>
          <w:i/>
          <w:iCs/>
          <w:color w:val="000000"/>
          <w:sz w:val="24"/>
          <w:szCs w:val="24"/>
          <w:lang w:val="en-US"/>
        </w:rPr>
        <w:t xml:space="preserve"> </w:t>
      </w:r>
      <w:r w:rsidRPr="00582C79">
        <w:rPr>
          <w:rFonts w:ascii="Times New Roman" w:hAnsi="Times New Roman"/>
          <w:b w:val="0"/>
          <w:bCs w:val="0"/>
          <w:iCs/>
          <w:color w:val="000000"/>
          <w:sz w:val="24"/>
          <w:szCs w:val="24"/>
          <w:lang w:val="en-US"/>
        </w:rPr>
        <w:t>v.</w:t>
      </w:r>
      <w:r w:rsidRPr="00582C79">
        <w:rPr>
          <w:rFonts w:ascii="Times New Roman" w:hAnsi="Times New Roman"/>
          <w:b w:val="0"/>
          <w:bCs w:val="0"/>
          <w:color w:val="000000"/>
          <w:sz w:val="24"/>
          <w:szCs w:val="24"/>
          <w:lang w:val="en-US"/>
        </w:rPr>
        <w:t xml:space="preserve">19, n.3, p. 304-309, 2006. </w:t>
      </w:r>
    </w:p>
    <w:p w:rsidR="00B206A4" w:rsidRPr="00582C79" w:rsidRDefault="00B206A4" w:rsidP="0009376E">
      <w:pPr>
        <w:rPr>
          <w:rFonts w:ascii="Times New Roman" w:hAnsi="Times New Roman"/>
          <w:sz w:val="24"/>
          <w:szCs w:val="24"/>
          <w:lang w:val="en-US"/>
        </w:rPr>
      </w:pPr>
    </w:p>
    <w:p w:rsidR="00B206A4" w:rsidRPr="00582C79" w:rsidRDefault="00B206A4" w:rsidP="00DC3FF0">
      <w:pPr>
        <w:pStyle w:val="Ttulo3"/>
        <w:spacing w:before="0" w:line="360" w:lineRule="auto"/>
        <w:rPr>
          <w:rFonts w:ascii="Times New Roman" w:hAnsi="Times New Roman"/>
          <w:b w:val="0"/>
          <w:color w:val="000000"/>
          <w:sz w:val="24"/>
          <w:szCs w:val="24"/>
          <w:lang w:val="en-US"/>
        </w:rPr>
      </w:pPr>
      <w:r w:rsidRPr="00582C79">
        <w:rPr>
          <w:rFonts w:ascii="Times New Roman" w:hAnsi="Times New Roman"/>
          <w:b w:val="0"/>
          <w:color w:val="000000"/>
          <w:sz w:val="24"/>
          <w:szCs w:val="24"/>
          <w:lang w:val="en-US"/>
        </w:rPr>
        <w:t xml:space="preserve">BEERENHOUT,C. et al. </w:t>
      </w:r>
      <w:r w:rsidRPr="00DC3FF0">
        <w:rPr>
          <w:rFonts w:ascii="Times New Roman" w:hAnsi="Times New Roman"/>
          <w:b w:val="0"/>
          <w:color w:val="000000"/>
          <w:sz w:val="24"/>
          <w:szCs w:val="24"/>
          <w:lang w:val="en-US"/>
        </w:rPr>
        <w:t xml:space="preserve">A comparison between the soluble transferrin receptor, transferrin saturation and serum ferritin as markers of iron state in hemodialysis patients. </w:t>
      </w:r>
      <w:r w:rsidRPr="00582C79">
        <w:rPr>
          <w:rFonts w:ascii="Times New Roman" w:hAnsi="Times New Roman"/>
          <w:color w:val="000000"/>
          <w:sz w:val="24"/>
          <w:szCs w:val="24"/>
          <w:lang w:val="en-US"/>
        </w:rPr>
        <w:t>Nephron</w:t>
      </w:r>
      <w:r w:rsidRPr="00582C79">
        <w:rPr>
          <w:rFonts w:ascii="Times New Roman" w:hAnsi="Times New Roman"/>
          <w:b w:val="0"/>
          <w:color w:val="000000"/>
          <w:sz w:val="24"/>
          <w:szCs w:val="24"/>
          <w:lang w:val="en-US"/>
        </w:rPr>
        <w:t>, Basel, v.92, n</w:t>
      </w:r>
      <w:r w:rsidR="00D94E79" w:rsidRPr="00582C79">
        <w:rPr>
          <w:rFonts w:ascii="Times New Roman" w:hAnsi="Times New Roman"/>
          <w:b w:val="0"/>
          <w:color w:val="000000"/>
          <w:sz w:val="24"/>
          <w:szCs w:val="24"/>
          <w:lang w:val="en-US"/>
        </w:rPr>
        <w:t>o</w:t>
      </w:r>
      <w:r w:rsidRPr="00582C79">
        <w:rPr>
          <w:rFonts w:ascii="Times New Roman" w:hAnsi="Times New Roman"/>
          <w:b w:val="0"/>
          <w:color w:val="000000"/>
          <w:sz w:val="24"/>
          <w:szCs w:val="24"/>
          <w:lang w:val="en-US"/>
        </w:rPr>
        <w:t>.1, p.32-5, 2002.</w:t>
      </w:r>
    </w:p>
    <w:p w:rsidR="00B206A4" w:rsidRPr="00582C79" w:rsidRDefault="00B206A4" w:rsidP="00BC2F0A">
      <w:pPr>
        <w:rPr>
          <w:rFonts w:ascii="Times New Roman" w:hAnsi="Times New Roman"/>
          <w:sz w:val="24"/>
          <w:szCs w:val="24"/>
          <w:lang w:val="en-US"/>
        </w:rPr>
      </w:pPr>
    </w:p>
    <w:p w:rsidR="00B206A4" w:rsidRPr="00DC3FF0" w:rsidRDefault="00B206A4" w:rsidP="00DC3FF0">
      <w:pPr>
        <w:spacing w:after="0" w:line="360" w:lineRule="auto"/>
        <w:rPr>
          <w:rFonts w:ascii="Times New Roman" w:hAnsi="Times New Roman"/>
          <w:sz w:val="24"/>
          <w:szCs w:val="24"/>
        </w:rPr>
      </w:pPr>
      <w:r w:rsidRPr="00DC3FF0">
        <w:rPr>
          <w:rFonts w:ascii="Times New Roman" w:hAnsi="Times New Roman"/>
          <w:sz w:val="24"/>
          <w:szCs w:val="24"/>
        </w:rPr>
        <w:t xml:space="preserve">CANZIANI, M. E. F. Doenças cardiovasculares na doença renal crônica. </w:t>
      </w:r>
      <w:r w:rsidRPr="00DC3FF0">
        <w:rPr>
          <w:rFonts w:ascii="Times New Roman" w:hAnsi="Times New Roman"/>
          <w:b/>
          <w:sz w:val="24"/>
          <w:szCs w:val="24"/>
        </w:rPr>
        <w:t>Jornal Brasileiro de Nefrologia</w:t>
      </w:r>
      <w:r w:rsidRPr="00DC3FF0">
        <w:rPr>
          <w:rFonts w:ascii="Times New Roman" w:hAnsi="Times New Roman"/>
          <w:sz w:val="24"/>
          <w:szCs w:val="24"/>
        </w:rPr>
        <w:t>, São Paulo, v. 26, n. 3, supl. 1, p. 20-21, 2004.</w:t>
      </w:r>
    </w:p>
    <w:p w:rsidR="00B206A4" w:rsidRPr="00DC3FF0" w:rsidRDefault="00B206A4" w:rsidP="00BC2F0A">
      <w:pPr>
        <w:spacing w:after="0" w:line="360" w:lineRule="auto"/>
        <w:rPr>
          <w:rFonts w:ascii="Times New Roman" w:hAnsi="Times New Roman"/>
          <w:sz w:val="24"/>
          <w:szCs w:val="24"/>
        </w:rPr>
      </w:pPr>
    </w:p>
    <w:p w:rsidR="00B206A4" w:rsidRPr="005526FB" w:rsidRDefault="00B206A4" w:rsidP="00DC3FF0">
      <w:pPr>
        <w:spacing w:after="0" w:line="360" w:lineRule="auto"/>
        <w:rPr>
          <w:rFonts w:ascii="Times New Roman" w:hAnsi="Times New Roman"/>
          <w:sz w:val="24"/>
          <w:szCs w:val="24"/>
        </w:rPr>
      </w:pPr>
      <w:r w:rsidRPr="00FE3D83">
        <w:rPr>
          <w:rFonts w:ascii="Times New Roman" w:hAnsi="Times New Roman"/>
          <w:sz w:val="24"/>
          <w:szCs w:val="24"/>
          <w:lang w:val="it-IT"/>
        </w:rPr>
        <w:t>CAVALCANTE, S</w:t>
      </w:r>
      <w:r>
        <w:rPr>
          <w:rFonts w:ascii="Times New Roman" w:hAnsi="Times New Roman"/>
          <w:sz w:val="24"/>
          <w:szCs w:val="24"/>
          <w:lang w:val="it-IT"/>
        </w:rPr>
        <w:t xml:space="preserve">.A. </w:t>
      </w:r>
      <w:r w:rsidRPr="00FE3D83">
        <w:rPr>
          <w:rFonts w:ascii="Times New Roman" w:hAnsi="Times New Roman"/>
          <w:sz w:val="24"/>
          <w:szCs w:val="24"/>
          <w:lang w:val="it-IT"/>
        </w:rPr>
        <w:t xml:space="preserve">et al. </w:t>
      </w:r>
      <w:r w:rsidRPr="00DC3FF0">
        <w:rPr>
          <w:rFonts w:ascii="Times New Roman" w:hAnsi="Times New Roman"/>
          <w:sz w:val="24"/>
          <w:szCs w:val="24"/>
        </w:rPr>
        <w:t xml:space="preserve">Doença renal crônica. In: FILGUEIRA, N. A. </w:t>
      </w:r>
      <w:r w:rsidRPr="00DC3FF0">
        <w:rPr>
          <w:rFonts w:ascii="Times New Roman" w:hAnsi="Times New Roman"/>
          <w:b/>
          <w:sz w:val="24"/>
          <w:szCs w:val="24"/>
        </w:rPr>
        <w:t>Condutas em clínica médica.</w:t>
      </w:r>
      <w:r w:rsidRPr="00DC3FF0">
        <w:rPr>
          <w:rFonts w:ascii="Times New Roman" w:hAnsi="Times New Roman"/>
          <w:sz w:val="24"/>
          <w:szCs w:val="24"/>
        </w:rPr>
        <w:t xml:space="preserve"> </w:t>
      </w:r>
      <w:r w:rsidRPr="005526FB">
        <w:rPr>
          <w:rFonts w:ascii="Times New Roman" w:hAnsi="Times New Roman"/>
          <w:sz w:val="24"/>
          <w:szCs w:val="24"/>
        </w:rPr>
        <w:t xml:space="preserve">4 ed. Rio de Janeiro: Guanabara Koogan. </w:t>
      </w:r>
      <w:proofErr w:type="spellStart"/>
      <w:r w:rsidRPr="005526FB">
        <w:rPr>
          <w:rFonts w:ascii="Times New Roman" w:hAnsi="Times New Roman"/>
          <w:sz w:val="24"/>
          <w:szCs w:val="24"/>
        </w:rPr>
        <w:t>Cap</w:t>
      </w:r>
      <w:proofErr w:type="spellEnd"/>
      <w:r w:rsidRPr="005526FB">
        <w:rPr>
          <w:rFonts w:ascii="Times New Roman" w:hAnsi="Times New Roman"/>
          <w:sz w:val="24"/>
          <w:szCs w:val="24"/>
        </w:rPr>
        <w:t xml:space="preserve"> 35, p. 491-500, 2007. </w:t>
      </w:r>
    </w:p>
    <w:p w:rsidR="00B206A4" w:rsidRPr="005526FB" w:rsidRDefault="00B206A4" w:rsidP="00BC2F0A">
      <w:pPr>
        <w:spacing w:after="0" w:line="360" w:lineRule="auto"/>
        <w:rPr>
          <w:rFonts w:ascii="Times New Roman" w:hAnsi="Times New Roman"/>
          <w:sz w:val="24"/>
          <w:szCs w:val="24"/>
        </w:rPr>
      </w:pPr>
    </w:p>
    <w:p w:rsidR="00B206A4" w:rsidRPr="00DC3FF0" w:rsidRDefault="00B206A4" w:rsidP="00DC3FF0">
      <w:pPr>
        <w:spacing w:after="0" w:line="360" w:lineRule="auto"/>
        <w:rPr>
          <w:rFonts w:ascii="Times New Roman" w:hAnsi="Times New Roman"/>
          <w:color w:val="000000"/>
          <w:sz w:val="24"/>
          <w:szCs w:val="24"/>
          <w:lang w:val="en-US" w:eastAsia="pt-BR"/>
        </w:rPr>
      </w:pPr>
      <w:proofErr w:type="gramStart"/>
      <w:r w:rsidRPr="00582C79">
        <w:rPr>
          <w:rFonts w:ascii="Times New Roman" w:hAnsi="Times New Roman"/>
          <w:color w:val="000000"/>
          <w:sz w:val="24"/>
          <w:szCs w:val="24"/>
          <w:lang w:val="en-US" w:eastAsia="pt-BR"/>
        </w:rPr>
        <w:t xml:space="preserve">COHEN, L. M. et al. </w:t>
      </w:r>
      <w:r w:rsidRPr="00DC3FF0">
        <w:rPr>
          <w:rFonts w:ascii="Times New Roman" w:hAnsi="Times New Roman"/>
          <w:color w:val="000000"/>
          <w:sz w:val="24"/>
          <w:szCs w:val="24"/>
          <w:lang w:val="en-US" w:eastAsia="pt-BR"/>
        </w:rPr>
        <w:t>Predicting six-month mortality for patients who are on maintenance hemodialysis.</w:t>
      </w:r>
      <w:proofErr w:type="gramEnd"/>
      <w:r w:rsidRPr="00DC3FF0">
        <w:rPr>
          <w:rFonts w:ascii="Times New Roman" w:hAnsi="Times New Roman"/>
          <w:color w:val="000000"/>
          <w:sz w:val="24"/>
          <w:szCs w:val="24"/>
          <w:lang w:val="en-US" w:eastAsia="pt-BR"/>
        </w:rPr>
        <w:t xml:space="preserve"> </w:t>
      </w:r>
      <w:r w:rsidRPr="00DC3FF0">
        <w:rPr>
          <w:rFonts w:ascii="Times New Roman" w:hAnsi="Times New Roman"/>
          <w:b/>
          <w:bCs/>
          <w:color w:val="000000"/>
          <w:sz w:val="24"/>
          <w:szCs w:val="24"/>
          <w:lang w:val="en-US" w:eastAsia="pt-BR"/>
        </w:rPr>
        <w:t>Clinical Journal of American Society of Nephrology</w:t>
      </w:r>
      <w:r w:rsidRPr="00DC3FF0">
        <w:rPr>
          <w:rFonts w:ascii="Times New Roman" w:hAnsi="Times New Roman"/>
          <w:bCs/>
          <w:color w:val="000000"/>
          <w:sz w:val="24"/>
          <w:szCs w:val="24"/>
          <w:lang w:val="en-US" w:eastAsia="pt-BR"/>
        </w:rPr>
        <w:t>, Washington,</w:t>
      </w:r>
      <w:r w:rsidRPr="00DC3FF0">
        <w:rPr>
          <w:rFonts w:ascii="Times New Roman" w:hAnsi="Times New Roman"/>
          <w:b/>
          <w:bCs/>
          <w:color w:val="000000"/>
          <w:sz w:val="24"/>
          <w:szCs w:val="24"/>
          <w:lang w:val="en-US" w:eastAsia="pt-BR"/>
        </w:rPr>
        <w:t xml:space="preserve"> </w:t>
      </w:r>
      <w:r w:rsidRPr="00DC3FF0">
        <w:rPr>
          <w:rFonts w:ascii="Times New Roman" w:hAnsi="Times New Roman"/>
          <w:color w:val="000000"/>
          <w:sz w:val="24"/>
          <w:szCs w:val="24"/>
          <w:lang w:val="en-US" w:eastAsia="pt-BR"/>
        </w:rPr>
        <w:t>v.5, p.72-79, 2010.</w:t>
      </w:r>
    </w:p>
    <w:p w:rsidR="00B206A4" w:rsidRPr="00DC3FF0" w:rsidRDefault="00B206A4" w:rsidP="00BC2F0A">
      <w:pPr>
        <w:spacing w:after="0" w:line="360" w:lineRule="auto"/>
        <w:rPr>
          <w:rFonts w:ascii="Times New Roman" w:hAnsi="Times New Roman"/>
          <w:color w:val="000000"/>
          <w:sz w:val="24"/>
          <w:szCs w:val="24"/>
          <w:lang w:val="en-US" w:eastAsia="pt-BR"/>
        </w:rPr>
      </w:pPr>
    </w:p>
    <w:p w:rsidR="00B206A4" w:rsidRPr="00DC3FF0" w:rsidRDefault="00B206A4" w:rsidP="00DC3FF0">
      <w:pPr>
        <w:spacing w:after="0" w:line="360" w:lineRule="auto"/>
        <w:rPr>
          <w:rFonts w:ascii="Times New Roman" w:hAnsi="Times New Roman"/>
          <w:color w:val="000000"/>
          <w:sz w:val="24"/>
          <w:szCs w:val="24"/>
          <w:lang w:val="en-US" w:eastAsia="pt-BR"/>
        </w:rPr>
      </w:pPr>
      <w:r w:rsidRPr="00DC3FF0">
        <w:rPr>
          <w:rFonts w:ascii="Times New Roman" w:hAnsi="Times New Roman"/>
          <w:color w:val="000000"/>
          <w:sz w:val="24"/>
          <w:szCs w:val="24"/>
          <w:lang w:val="en-US" w:eastAsia="pt-BR"/>
        </w:rPr>
        <w:t xml:space="preserve">FELDMAN, H. I. et al. The chronic renal insufficiency cohort (CRIC) study: design and methods. </w:t>
      </w:r>
      <w:r w:rsidRPr="00DC3FF0">
        <w:rPr>
          <w:rFonts w:ascii="Times New Roman" w:hAnsi="Times New Roman"/>
          <w:b/>
          <w:bCs/>
          <w:color w:val="000000"/>
          <w:sz w:val="24"/>
          <w:szCs w:val="24"/>
          <w:lang w:val="en-US" w:eastAsia="pt-BR"/>
        </w:rPr>
        <w:t>Journal of American Society of Nephrology</w:t>
      </w:r>
      <w:r w:rsidRPr="00DC3FF0">
        <w:rPr>
          <w:rFonts w:ascii="Times New Roman" w:hAnsi="Times New Roman"/>
          <w:bCs/>
          <w:color w:val="000000"/>
          <w:sz w:val="24"/>
          <w:szCs w:val="24"/>
          <w:lang w:val="en-US" w:eastAsia="pt-BR"/>
        </w:rPr>
        <w:t>, Baltimore,</w:t>
      </w:r>
      <w:r w:rsidRPr="00DC3FF0">
        <w:rPr>
          <w:rFonts w:ascii="Times New Roman" w:hAnsi="Times New Roman"/>
          <w:b/>
          <w:bCs/>
          <w:color w:val="000000"/>
          <w:sz w:val="24"/>
          <w:szCs w:val="24"/>
          <w:lang w:val="en-US" w:eastAsia="pt-BR"/>
        </w:rPr>
        <w:t xml:space="preserve"> </w:t>
      </w:r>
      <w:r w:rsidRPr="00DC3FF0">
        <w:rPr>
          <w:rFonts w:ascii="Times New Roman" w:hAnsi="Times New Roman"/>
          <w:color w:val="000000"/>
          <w:sz w:val="24"/>
          <w:szCs w:val="24"/>
          <w:lang w:val="en-US" w:eastAsia="pt-BR"/>
        </w:rPr>
        <w:t>v.14, p.148-153, 2003.</w:t>
      </w:r>
    </w:p>
    <w:p w:rsidR="00B206A4" w:rsidRPr="00DC3FF0" w:rsidRDefault="00B206A4" w:rsidP="00F6708C">
      <w:pPr>
        <w:pStyle w:val="PargrafodaLista"/>
        <w:spacing w:after="0" w:line="360" w:lineRule="auto"/>
        <w:rPr>
          <w:rFonts w:ascii="Times New Roman" w:hAnsi="Times New Roman"/>
          <w:color w:val="000000"/>
          <w:sz w:val="24"/>
          <w:szCs w:val="24"/>
          <w:lang w:val="en-US" w:eastAsia="pt-BR"/>
        </w:rPr>
      </w:pPr>
    </w:p>
    <w:p w:rsidR="00B206A4" w:rsidRPr="00DC3FF0" w:rsidRDefault="00B206A4" w:rsidP="00DC3FF0">
      <w:pPr>
        <w:autoSpaceDE w:val="0"/>
        <w:autoSpaceDN w:val="0"/>
        <w:adjustRightInd w:val="0"/>
        <w:spacing w:after="0" w:line="360" w:lineRule="auto"/>
        <w:rPr>
          <w:rFonts w:ascii="Times New Roman" w:hAnsi="Times New Roman"/>
          <w:color w:val="000000"/>
          <w:sz w:val="24"/>
          <w:szCs w:val="24"/>
          <w:lang w:val="en-US"/>
        </w:rPr>
      </w:pPr>
      <w:r w:rsidRPr="00DC3FF0">
        <w:rPr>
          <w:rFonts w:ascii="Times New Roman" w:hAnsi="Times New Roman"/>
          <w:color w:val="000000"/>
          <w:sz w:val="24"/>
          <w:szCs w:val="24"/>
          <w:lang w:val="en-US"/>
        </w:rPr>
        <w:t>HASUIKE, Y. et al</w:t>
      </w:r>
      <w:r w:rsidRPr="00DC3FF0">
        <w:rPr>
          <w:rFonts w:ascii="Times New Roman" w:hAnsi="Times New Roman"/>
          <w:sz w:val="24"/>
          <w:szCs w:val="24"/>
          <w:lang w:val="en-US"/>
        </w:rPr>
        <w:t>.</w:t>
      </w:r>
      <w:r w:rsidRPr="00DC3FF0">
        <w:rPr>
          <w:rFonts w:ascii="Times New Roman" w:hAnsi="Times New Roman"/>
          <w:color w:val="000000"/>
          <w:sz w:val="24"/>
          <w:szCs w:val="24"/>
          <w:lang w:val="en-US"/>
        </w:rPr>
        <w:t xml:space="preserve"> Serum ferritin predicts prognosis in hemodialysis patients: the Nishinomiya study.  </w:t>
      </w:r>
      <w:r w:rsidRPr="00DC3FF0">
        <w:rPr>
          <w:rFonts w:ascii="Times New Roman" w:hAnsi="Times New Roman"/>
          <w:b/>
          <w:color w:val="000000"/>
          <w:sz w:val="24"/>
          <w:szCs w:val="24"/>
          <w:lang w:val="en-US"/>
        </w:rPr>
        <w:t>Clinical and Experimental Nephrology</w:t>
      </w:r>
      <w:r w:rsidRPr="00DC3FF0">
        <w:rPr>
          <w:rFonts w:ascii="Times New Roman" w:hAnsi="Times New Roman"/>
          <w:color w:val="000000"/>
          <w:sz w:val="24"/>
          <w:szCs w:val="24"/>
          <w:lang w:val="en-US"/>
        </w:rPr>
        <w:t>, Tokyo, v.14, n</w:t>
      </w:r>
      <w:r w:rsidR="00D94E79">
        <w:rPr>
          <w:rFonts w:ascii="Times New Roman" w:hAnsi="Times New Roman"/>
          <w:color w:val="000000"/>
          <w:sz w:val="24"/>
          <w:szCs w:val="24"/>
          <w:lang w:val="en-US"/>
        </w:rPr>
        <w:t>o</w:t>
      </w:r>
      <w:r w:rsidRPr="00DC3FF0">
        <w:rPr>
          <w:rFonts w:ascii="Times New Roman" w:hAnsi="Times New Roman"/>
          <w:color w:val="000000"/>
          <w:sz w:val="24"/>
          <w:szCs w:val="24"/>
          <w:lang w:val="en-US"/>
        </w:rPr>
        <w:t>.4, p.349-55, 2010.</w:t>
      </w:r>
    </w:p>
    <w:p w:rsidR="00B206A4" w:rsidRPr="00DC3FF0" w:rsidRDefault="00B206A4" w:rsidP="00BC2F0A">
      <w:pPr>
        <w:autoSpaceDE w:val="0"/>
        <w:autoSpaceDN w:val="0"/>
        <w:adjustRightInd w:val="0"/>
        <w:spacing w:after="0" w:line="360" w:lineRule="auto"/>
        <w:rPr>
          <w:rFonts w:ascii="Times New Roman" w:hAnsi="Times New Roman"/>
          <w:color w:val="000000"/>
          <w:sz w:val="24"/>
          <w:szCs w:val="24"/>
          <w:lang w:val="en-US"/>
        </w:rPr>
      </w:pPr>
    </w:p>
    <w:p w:rsidR="00B206A4" w:rsidRPr="00DC3FF0" w:rsidRDefault="00B206A4" w:rsidP="00DC3FF0">
      <w:pPr>
        <w:autoSpaceDE w:val="0"/>
        <w:autoSpaceDN w:val="0"/>
        <w:adjustRightInd w:val="0"/>
        <w:spacing w:after="0" w:line="360" w:lineRule="auto"/>
        <w:rPr>
          <w:rFonts w:ascii="Times New Roman" w:hAnsi="Times New Roman"/>
          <w:color w:val="000000"/>
          <w:sz w:val="24"/>
          <w:szCs w:val="24"/>
          <w:lang w:val="en-US"/>
        </w:rPr>
      </w:pPr>
      <w:r w:rsidRPr="00DC3FF0">
        <w:rPr>
          <w:rFonts w:ascii="Times New Roman" w:hAnsi="Times New Roman"/>
          <w:color w:val="000000"/>
          <w:sz w:val="24"/>
          <w:szCs w:val="24"/>
          <w:lang w:val="en-US"/>
        </w:rPr>
        <w:t xml:space="preserve">LOCATELLI, F. et al. Anemia in hemodialysis patients of five European Countries: association with morbidity and mortality in the Dialysis Outcomes and Practice Patterns Study ( DOPPS). </w:t>
      </w:r>
      <w:r w:rsidRPr="00DC3FF0">
        <w:rPr>
          <w:rFonts w:ascii="Times New Roman" w:hAnsi="Times New Roman"/>
          <w:b/>
          <w:color w:val="000000"/>
          <w:sz w:val="24"/>
          <w:szCs w:val="24"/>
          <w:lang w:val="en-US"/>
        </w:rPr>
        <w:t>Nephrology, Dialysis, Transplantation</w:t>
      </w:r>
      <w:r w:rsidRPr="00DC3FF0">
        <w:rPr>
          <w:rFonts w:ascii="Times New Roman" w:hAnsi="Times New Roman"/>
          <w:color w:val="000000"/>
          <w:sz w:val="24"/>
          <w:szCs w:val="24"/>
          <w:lang w:val="en-US"/>
        </w:rPr>
        <w:t>, Oxford, v.19, n</w:t>
      </w:r>
      <w:r w:rsidR="00D94E79">
        <w:rPr>
          <w:rFonts w:ascii="Times New Roman" w:hAnsi="Times New Roman"/>
          <w:color w:val="000000"/>
          <w:sz w:val="24"/>
          <w:szCs w:val="24"/>
          <w:lang w:val="en-US"/>
        </w:rPr>
        <w:t>o</w:t>
      </w:r>
      <w:r w:rsidRPr="00DC3FF0">
        <w:rPr>
          <w:rFonts w:ascii="Times New Roman" w:hAnsi="Times New Roman"/>
          <w:color w:val="000000"/>
          <w:sz w:val="24"/>
          <w:szCs w:val="24"/>
          <w:lang w:val="en-US"/>
        </w:rPr>
        <w:t>.6,  p.1666, 2004.</w:t>
      </w:r>
    </w:p>
    <w:p w:rsidR="00B206A4" w:rsidRPr="00DC3FF0" w:rsidRDefault="00B206A4" w:rsidP="00BC2F0A">
      <w:pPr>
        <w:autoSpaceDE w:val="0"/>
        <w:autoSpaceDN w:val="0"/>
        <w:adjustRightInd w:val="0"/>
        <w:spacing w:after="0" w:line="360" w:lineRule="auto"/>
        <w:rPr>
          <w:rFonts w:ascii="Times New Roman" w:hAnsi="Times New Roman"/>
          <w:color w:val="000000"/>
          <w:sz w:val="24"/>
          <w:szCs w:val="24"/>
          <w:lang w:val="en-US"/>
        </w:rPr>
      </w:pPr>
    </w:p>
    <w:p w:rsidR="00B206A4" w:rsidRPr="00FE3D83" w:rsidRDefault="00B206A4" w:rsidP="00DC3FF0">
      <w:pPr>
        <w:autoSpaceDE w:val="0"/>
        <w:autoSpaceDN w:val="0"/>
        <w:adjustRightInd w:val="0"/>
        <w:spacing w:after="0" w:line="360" w:lineRule="auto"/>
        <w:rPr>
          <w:rFonts w:ascii="Times New Roman" w:hAnsi="Times New Roman"/>
          <w:color w:val="000000"/>
          <w:sz w:val="24"/>
          <w:szCs w:val="24"/>
        </w:rPr>
      </w:pPr>
      <w:r w:rsidRPr="00DC3FF0">
        <w:rPr>
          <w:rFonts w:ascii="Times New Roman" w:hAnsi="Times New Roman"/>
          <w:color w:val="000000"/>
          <w:sz w:val="24"/>
          <w:szCs w:val="24"/>
          <w:lang w:val="en-US"/>
        </w:rPr>
        <w:t>KALANTAR, Z, K. e</w:t>
      </w:r>
      <w:r>
        <w:rPr>
          <w:rFonts w:ascii="Times New Roman" w:hAnsi="Times New Roman"/>
          <w:color w:val="000000"/>
          <w:sz w:val="24"/>
          <w:szCs w:val="24"/>
          <w:lang w:val="en-US"/>
        </w:rPr>
        <w:t>t al</w:t>
      </w:r>
      <w:r w:rsidRPr="00DC3FF0">
        <w:rPr>
          <w:rFonts w:ascii="Times New Roman" w:hAnsi="Times New Roman"/>
          <w:color w:val="000000"/>
          <w:sz w:val="24"/>
          <w:szCs w:val="24"/>
          <w:lang w:val="en-US"/>
        </w:rPr>
        <w:t xml:space="preserve">.  Serum ferritin is a marker of morbidity and mortality in </w:t>
      </w:r>
      <w:proofErr w:type="spellStart"/>
      <w:r w:rsidRPr="00DC3FF0">
        <w:rPr>
          <w:rFonts w:ascii="Times New Roman" w:hAnsi="Times New Roman"/>
          <w:color w:val="000000"/>
          <w:sz w:val="24"/>
          <w:szCs w:val="24"/>
          <w:lang w:val="en-US"/>
        </w:rPr>
        <w:t>hemolialysis</w:t>
      </w:r>
      <w:proofErr w:type="spellEnd"/>
      <w:r w:rsidRPr="00DC3FF0">
        <w:rPr>
          <w:rFonts w:ascii="Times New Roman" w:hAnsi="Times New Roman"/>
          <w:color w:val="000000"/>
          <w:sz w:val="24"/>
          <w:szCs w:val="24"/>
          <w:lang w:val="en-US"/>
        </w:rPr>
        <w:t xml:space="preserve"> patients. </w:t>
      </w:r>
      <w:r w:rsidRPr="00FE3D83">
        <w:rPr>
          <w:rFonts w:ascii="Times New Roman" w:hAnsi="Times New Roman"/>
          <w:b/>
          <w:color w:val="000000"/>
          <w:sz w:val="24"/>
          <w:szCs w:val="24"/>
        </w:rPr>
        <w:t xml:space="preserve">American </w:t>
      </w:r>
      <w:proofErr w:type="spellStart"/>
      <w:r w:rsidRPr="00FE3D83">
        <w:rPr>
          <w:rFonts w:ascii="Times New Roman" w:hAnsi="Times New Roman"/>
          <w:b/>
          <w:color w:val="000000"/>
          <w:sz w:val="24"/>
          <w:szCs w:val="24"/>
        </w:rPr>
        <w:t>Journal</w:t>
      </w:r>
      <w:proofErr w:type="spellEnd"/>
      <w:r w:rsidRPr="00FE3D83">
        <w:rPr>
          <w:rFonts w:ascii="Times New Roman" w:hAnsi="Times New Roman"/>
          <w:b/>
          <w:color w:val="000000"/>
          <w:sz w:val="24"/>
          <w:szCs w:val="24"/>
        </w:rPr>
        <w:t xml:space="preserve"> </w:t>
      </w:r>
      <w:proofErr w:type="spellStart"/>
      <w:r w:rsidRPr="00FE3D83">
        <w:rPr>
          <w:rFonts w:ascii="Times New Roman" w:hAnsi="Times New Roman"/>
          <w:b/>
          <w:color w:val="000000"/>
          <w:sz w:val="24"/>
          <w:szCs w:val="24"/>
        </w:rPr>
        <w:t>of</w:t>
      </w:r>
      <w:proofErr w:type="spellEnd"/>
      <w:r w:rsidRPr="00FE3D83">
        <w:rPr>
          <w:rFonts w:ascii="Times New Roman" w:hAnsi="Times New Roman"/>
          <w:b/>
          <w:color w:val="000000"/>
          <w:sz w:val="24"/>
          <w:szCs w:val="24"/>
        </w:rPr>
        <w:t xml:space="preserve"> </w:t>
      </w:r>
      <w:proofErr w:type="spellStart"/>
      <w:r w:rsidRPr="00FE3D83">
        <w:rPr>
          <w:rFonts w:ascii="Times New Roman" w:hAnsi="Times New Roman"/>
          <w:b/>
          <w:color w:val="000000"/>
          <w:sz w:val="24"/>
          <w:szCs w:val="24"/>
        </w:rPr>
        <w:t>Kidney</w:t>
      </w:r>
      <w:proofErr w:type="spellEnd"/>
      <w:r w:rsidRPr="00FE3D83">
        <w:rPr>
          <w:rFonts w:ascii="Times New Roman" w:hAnsi="Times New Roman"/>
          <w:b/>
          <w:color w:val="000000"/>
          <w:sz w:val="24"/>
          <w:szCs w:val="24"/>
        </w:rPr>
        <w:t xml:space="preserve"> </w:t>
      </w:r>
      <w:proofErr w:type="spellStart"/>
      <w:r w:rsidRPr="00FE3D83">
        <w:rPr>
          <w:rFonts w:ascii="Times New Roman" w:hAnsi="Times New Roman"/>
          <w:b/>
          <w:color w:val="000000"/>
          <w:sz w:val="24"/>
          <w:szCs w:val="24"/>
        </w:rPr>
        <w:t>Diseases</w:t>
      </w:r>
      <w:proofErr w:type="spellEnd"/>
      <w:r w:rsidRPr="00FE3D83">
        <w:rPr>
          <w:rFonts w:ascii="Times New Roman" w:hAnsi="Times New Roman"/>
          <w:color w:val="000000"/>
          <w:sz w:val="24"/>
          <w:szCs w:val="24"/>
        </w:rPr>
        <w:t>,</w:t>
      </w:r>
      <w:r w:rsidRPr="00FE3D83">
        <w:rPr>
          <w:rFonts w:ascii="Times New Roman" w:hAnsi="Times New Roman"/>
          <w:b/>
          <w:color w:val="000000"/>
          <w:sz w:val="24"/>
          <w:szCs w:val="24"/>
        </w:rPr>
        <w:t xml:space="preserve"> </w:t>
      </w:r>
      <w:r w:rsidRPr="00FE3D83">
        <w:rPr>
          <w:rFonts w:ascii="Times New Roman" w:hAnsi="Times New Roman"/>
          <w:color w:val="000000"/>
          <w:sz w:val="24"/>
          <w:szCs w:val="24"/>
        </w:rPr>
        <w:t>Oxford,</w:t>
      </w:r>
      <w:r w:rsidRPr="00FE3D83">
        <w:rPr>
          <w:rFonts w:ascii="Times New Roman" w:hAnsi="Times New Roman"/>
          <w:b/>
          <w:color w:val="000000"/>
          <w:sz w:val="24"/>
          <w:szCs w:val="24"/>
        </w:rPr>
        <w:t xml:space="preserve"> </w:t>
      </w:r>
      <w:r w:rsidRPr="00FE3D83">
        <w:rPr>
          <w:rFonts w:ascii="Times New Roman" w:hAnsi="Times New Roman"/>
          <w:color w:val="000000"/>
          <w:sz w:val="24"/>
          <w:szCs w:val="24"/>
        </w:rPr>
        <w:t>v.37, n</w:t>
      </w:r>
      <w:r w:rsidR="00D94E79">
        <w:rPr>
          <w:rFonts w:ascii="Times New Roman" w:hAnsi="Times New Roman"/>
          <w:color w:val="000000"/>
          <w:sz w:val="24"/>
          <w:szCs w:val="24"/>
        </w:rPr>
        <w:t>o</w:t>
      </w:r>
      <w:r w:rsidRPr="00FE3D83">
        <w:rPr>
          <w:rFonts w:ascii="Times New Roman" w:hAnsi="Times New Roman"/>
          <w:color w:val="000000"/>
          <w:sz w:val="24"/>
          <w:szCs w:val="24"/>
        </w:rPr>
        <w:t>.3, p.564-72, 2001.</w:t>
      </w:r>
    </w:p>
    <w:p w:rsidR="00B206A4" w:rsidRPr="00FE3D83" w:rsidRDefault="00B206A4" w:rsidP="00BC2F0A">
      <w:pPr>
        <w:autoSpaceDE w:val="0"/>
        <w:autoSpaceDN w:val="0"/>
        <w:adjustRightInd w:val="0"/>
        <w:spacing w:after="0" w:line="360" w:lineRule="auto"/>
        <w:rPr>
          <w:rFonts w:ascii="Times New Roman" w:hAnsi="Times New Roman"/>
          <w:color w:val="000000"/>
          <w:sz w:val="24"/>
          <w:szCs w:val="24"/>
        </w:rPr>
      </w:pPr>
    </w:p>
    <w:p w:rsidR="00B206A4" w:rsidRPr="00DC3FF0" w:rsidRDefault="00B206A4" w:rsidP="00DC3FF0">
      <w:pPr>
        <w:spacing w:after="0" w:line="360" w:lineRule="auto"/>
        <w:rPr>
          <w:rFonts w:ascii="Times New Roman" w:hAnsi="Times New Roman"/>
          <w:sz w:val="24"/>
          <w:szCs w:val="24"/>
        </w:rPr>
      </w:pPr>
      <w:r w:rsidRPr="00DC3FF0">
        <w:rPr>
          <w:rFonts w:ascii="Times New Roman" w:hAnsi="Times New Roman"/>
          <w:sz w:val="24"/>
          <w:szCs w:val="24"/>
        </w:rPr>
        <w:lastRenderedPageBreak/>
        <w:t xml:space="preserve">MARTINS, H. S. IRC e métodos dialíticos. In: MARTINS, </w:t>
      </w:r>
      <w:proofErr w:type="spellStart"/>
      <w:r w:rsidRPr="00DC3FF0">
        <w:rPr>
          <w:rFonts w:ascii="Times New Roman" w:hAnsi="Times New Roman"/>
          <w:sz w:val="24"/>
          <w:szCs w:val="24"/>
        </w:rPr>
        <w:t>Herlon</w:t>
      </w:r>
      <w:proofErr w:type="spellEnd"/>
      <w:r w:rsidRPr="00DC3FF0">
        <w:rPr>
          <w:rFonts w:ascii="Times New Roman" w:hAnsi="Times New Roman"/>
          <w:sz w:val="24"/>
          <w:szCs w:val="24"/>
        </w:rPr>
        <w:t xml:space="preserve"> S. </w:t>
      </w:r>
      <w:r w:rsidRPr="00DC3FF0">
        <w:rPr>
          <w:rFonts w:ascii="Times New Roman" w:hAnsi="Times New Roman"/>
          <w:b/>
          <w:sz w:val="24"/>
          <w:szCs w:val="24"/>
        </w:rPr>
        <w:t>Principais temas em nefrologia para concursos médicos</w:t>
      </w:r>
      <w:r w:rsidRPr="00DC3FF0">
        <w:rPr>
          <w:rFonts w:ascii="Times New Roman" w:hAnsi="Times New Roman"/>
          <w:sz w:val="24"/>
          <w:szCs w:val="24"/>
        </w:rPr>
        <w:t xml:space="preserve">. São Paulo: </w:t>
      </w:r>
      <w:proofErr w:type="spellStart"/>
      <w:r w:rsidRPr="00DC3FF0">
        <w:rPr>
          <w:rFonts w:ascii="Times New Roman" w:hAnsi="Times New Roman"/>
          <w:sz w:val="24"/>
          <w:szCs w:val="24"/>
        </w:rPr>
        <w:t>Medcel</w:t>
      </w:r>
      <w:proofErr w:type="spellEnd"/>
      <w:r w:rsidRPr="00DC3FF0">
        <w:rPr>
          <w:rFonts w:ascii="Times New Roman" w:hAnsi="Times New Roman"/>
          <w:sz w:val="24"/>
          <w:szCs w:val="24"/>
        </w:rPr>
        <w:t xml:space="preserve">. cap.5, p.91-114, 2005.  </w:t>
      </w:r>
    </w:p>
    <w:p w:rsidR="00B206A4" w:rsidRDefault="00B206A4" w:rsidP="00DC3FF0">
      <w:pPr>
        <w:spacing w:after="0" w:line="360" w:lineRule="auto"/>
        <w:rPr>
          <w:rFonts w:ascii="Times New Roman" w:hAnsi="Times New Roman"/>
          <w:sz w:val="24"/>
          <w:szCs w:val="24"/>
        </w:rPr>
      </w:pPr>
    </w:p>
    <w:p w:rsidR="00B206A4" w:rsidRPr="00DC3FF0" w:rsidRDefault="00B206A4" w:rsidP="00DC3FF0">
      <w:pPr>
        <w:spacing w:after="0" w:line="360" w:lineRule="auto"/>
        <w:rPr>
          <w:rFonts w:ascii="Times New Roman" w:hAnsi="Times New Roman"/>
          <w:color w:val="000000"/>
          <w:sz w:val="24"/>
          <w:szCs w:val="24"/>
          <w:lang w:eastAsia="pt-BR"/>
        </w:rPr>
      </w:pPr>
      <w:r w:rsidRPr="00DC3FF0">
        <w:rPr>
          <w:rFonts w:ascii="Times New Roman" w:hAnsi="Times New Roman"/>
          <w:color w:val="000000"/>
          <w:sz w:val="24"/>
          <w:szCs w:val="24"/>
          <w:lang w:eastAsia="pt-BR"/>
        </w:rPr>
        <w:t>MIRANDA, S. P.</w:t>
      </w:r>
      <w:r>
        <w:rPr>
          <w:rFonts w:ascii="Times New Roman" w:hAnsi="Times New Roman"/>
          <w:color w:val="000000"/>
          <w:sz w:val="24"/>
          <w:szCs w:val="24"/>
          <w:lang w:eastAsia="pt-BR"/>
        </w:rPr>
        <w:t xml:space="preserve"> et al</w:t>
      </w:r>
      <w:r w:rsidRPr="00DC3FF0">
        <w:rPr>
          <w:rFonts w:ascii="Times New Roman" w:hAnsi="Times New Roman"/>
          <w:color w:val="000000"/>
          <w:sz w:val="24"/>
          <w:szCs w:val="24"/>
          <w:lang w:eastAsia="pt-BR"/>
        </w:rPr>
        <w:t>. Síndrome cardiorrenal: fisiopatologia e tratamento</w:t>
      </w:r>
      <w:r w:rsidRPr="00DC3FF0">
        <w:rPr>
          <w:rFonts w:ascii="Times New Roman" w:hAnsi="Times New Roman"/>
          <w:b/>
          <w:bCs/>
          <w:color w:val="000000"/>
          <w:sz w:val="24"/>
          <w:szCs w:val="24"/>
          <w:lang w:eastAsia="pt-BR"/>
        </w:rPr>
        <w:t>. Revista da Associação Médica Brasileira</w:t>
      </w:r>
      <w:r w:rsidRPr="00DC3FF0">
        <w:rPr>
          <w:rFonts w:ascii="Times New Roman" w:hAnsi="Times New Roman"/>
          <w:bCs/>
          <w:color w:val="000000"/>
          <w:sz w:val="24"/>
          <w:szCs w:val="24"/>
          <w:lang w:eastAsia="pt-BR"/>
        </w:rPr>
        <w:t>,</w:t>
      </w:r>
      <w:r w:rsidRPr="00DC3FF0">
        <w:rPr>
          <w:rFonts w:ascii="Times New Roman" w:hAnsi="Times New Roman"/>
          <w:color w:val="000000"/>
          <w:sz w:val="24"/>
          <w:szCs w:val="24"/>
          <w:lang w:eastAsia="pt-BR"/>
        </w:rPr>
        <w:t xml:space="preserve"> São, Paulo, v.55, n.1, p.89-94, 2009.</w:t>
      </w:r>
    </w:p>
    <w:p w:rsidR="00B206A4" w:rsidRPr="00DC3FF0" w:rsidRDefault="00B206A4" w:rsidP="00086BC9">
      <w:pPr>
        <w:pStyle w:val="PargrafodaLista"/>
        <w:spacing w:after="0" w:line="360" w:lineRule="auto"/>
        <w:rPr>
          <w:rFonts w:ascii="Times New Roman" w:hAnsi="Times New Roman"/>
          <w:color w:val="000000"/>
          <w:sz w:val="24"/>
          <w:szCs w:val="24"/>
          <w:lang w:eastAsia="pt-BR"/>
        </w:rPr>
      </w:pPr>
    </w:p>
    <w:p w:rsidR="00B206A4" w:rsidRPr="00DC3FF0" w:rsidRDefault="00B206A4" w:rsidP="00DC3FF0">
      <w:pPr>
        <w:spacing w:after="0" w:line="360" w:lineRule="auto"/>
        <w:rPr>
          <w:rFonts w:ascii="Times New Roman" w:hAnsi="Times New Roman"/>
          <w:color w:val="000000"/>
          <w:sz w:val="24"/>
          <w:szCs w:val="24"/>
        </w:rPr>
      </w:pPr>
      <w:r w:rsidRPr="00DC3FF0">
        <w:rPr>
          <w:rFonts w:ascii="Times New Roman" w:hAnsi="Times New Roman"/>
          <w:color w:val="000000"/>
          <w:sz w:val="24"/>
          <w:szCs w:val="24"/>
        </w:rPr>
        <w:t>MORSCH, C.</w:t>
      </w:r>
      <w:r>
        <w:rPr>
          <w:rFonts w:ascii="Times New Roman" w:hAnsi="Times New Roman"/>
          <w:color w:val="000000"/>
          <w:sz w:val="24"/>
          <w:szCs w:val="24"/>
        </w:rPr>
        <w:t xml:space="preserve"> et al</w:t>
      </w:r>
      <w:r w:rsidRPr="00DC3FF0">
        <w:rPr>
          <w:rFonts w:ascii="Times New Roman" w:hAnsi="Times New Roman"/>
          <w:color w:val="000000"/>
          <w:sz w:val="24"/>
          <w:szCs w:val="24"/>
        </w:rPr>
        <w:t>. Índice de gravidade da doença renal, indicadores assistenciais e mortalidade em pacientes em hemodiálise</w:t>
      </w:r>
      <w:r w:rsidRPr="00DC3FF0">
        <w:rPr>
          <w:rFonts w:ascii="Times New Roman" w:hAnsi="Times New Roman"/>
          <w:b/>
          <w:i/>
          <w:color w:val="000000"/>
          <w:sz w:val="24"/>
          <w:szCs w:val="24"/>
        </w:rPr>
        <w:t>.</w:t>
      </w:r>
      <w:r w:rsidRPr="00DC3FF0">
        <w:rPr>
          <w:rStyle w:val="apple-converted-space"/>
          <w:rFonts w:ascii="Times New Roman" w:hAnsi="Times New Roman"/>
          <w:b/>
          <w:i/>
          <w:iCs/>
          <w:color w:val="000000"/>
          <w:sz w:val="24"/>
          <w:szCs w:val="24"/>
        </w:rPr>
        <w:t> </w:t>
      </w:r>
      <w:r w:rsidRPr="00DC3FF0">
        <w:rPr>
          <w:rFonts w:ascii="Times New Roman" w:hAnsi="Times New Roman"/>
          <w:b/>
          <w:iCs/>
          <w:color w:val="000000"/>
          <w:sz w:val="24"/>
          <w:szCs w:val="24"/>
        </w:rPr>
        <w:t>Revista da Associação Médica Brasileira</w:t>
      </w:r>
      <w:r w:rsidRPr="00DC3FF0">
        <w:rPr>
          <w:rStyle w:val="apple-converted-space"/>
          <w:rFonts w:ascii="Times New Roman" w:hAnsi="Times New Roman"/>
          <w:color w:val="000000"/>
          <w:sz w:val="24"/>
          <w:szCs w:val="24"/>
        </w:rPr>
        <w:t>, São Paulo, v.</w:t>
      </w:r>
      <w:r w:rsidRPr="00DC3FF0">
        <w:rPr>
          <w:rFonts w:ascii="Times New Roman" w:hAnsi="Times New Roman"/>
          <w:color w:val="000000"/>
          <w:sz w:val="24"/>
          <w:szCs w:val="24"/>
        </w:rPr>
        <w:t xml:space="preserve">51, n.5, p.296-300, 2005. </w:t>
      </w:r>
    </w:p>
    <w:p w:rsidR="00B206A4" w:rsidRPr="00DC3FF0" w:rsidRDefault="00B206A4" w:rsidP="00BC2F0A">
      <w:pPr>
        <w:spacing w:after="0" w:line="360" w:lineRule="auto"/>
        <w:rPr>
          <w:rStyle w:val="apple-converted-space"/>
          <w:rFonts w:ascii="Times New Roman" w:hAnsi="Times New Roman"/>
          <w:color w:val="000000"/>
          <w:sz w:val="24"/>
          <w:szCs w:val="24"/>
        </w:rPr>
      </w:pPr>
    </w:p>
    <w:p w:rsidR="00B206A4" w:rsidRPr="00DC3FF0" w:rsidRDefault="00B206A4" w:rsidP="00DC3FF0">
      <w:pPr>
        <w:pStyle w:val="Ttulo1"/>
        <w:spacing w:before="0" w:line="360" w:lineRule="auto"/>
        <w:rPr>
          <w:rFonts w:ascii="Times New Roman" w:hAnsi="Times New Roman"/>
          <w:b w:val="0"/>
          <w:color w:val="000000"/>
          <w:sz w:val="24"/>
          <w:szCs w:val="24"/>
          <w:lang w:val="en-US"/>
        </w:rPr>
      </w:pPr>
      <w:r w:rsidRPr="00FE3D83">
        <w:rPr>
          <w:rStyle w:val="apple-converted-space"/>
          <w:rFonts w:ascii="Times New Roman" w:hAnsi="Times New Roman"/>
          <w:b w:val="0"/>
          <w:color w:val="000000"/>
          <w:sz w:val="24"/>
          <w:szCs w:val="24"/>
          <w:lang w:val="es-ES_tradnl"/>
        </w:rPr>
        <w:t>NAVES, D. M.</w:t>
      </w:r>
      <w:r w:rsidRPr="00FE3D83">
        <w:rPr>
          <w:rFonts w:ascii="Times New Roman" w:hAnsi="Times New Roman"/>
          <w:b w:val="0"/>
          <w:color w:val="auto"/>
          <w:sz w:val="24"/>
          <w:szCs w:val="24"/>
          <w:lang w:val="es-ES_tradnl"/>
        </w:rPr>
        <w:t xml:space="preserve"> et al</w:t>
      </w:r>
      <w:r w:rsidRPr="00FE3D83">
        <w:rPr>
          <w:rStyle w:val="apple-converted-space"/>
          <w:rFonts w:ascii="Times New Roman" w:hAnsi="Times New Roman"/>
          <w:b w:val="0"/>
          <w:color w:val="000000"/>
          <w:sz w:val="24"/>
          <w:szCs w:val="24"/>
          <w:lang w:val="es-ES_tradnl"/>
        </w:rPr>
        <w:t>.</w:t>
      </w:r>
      <w:r w:rsidRPr="00FE3D83">
        <w:rPr>
          <w:rFonts w:ascii="Times New Roman" w:hAnsi="Times New Roman"/>
          <w:b w:val="0"/>
          <w:color w:val="000000"/>
          <w:sz w:val="24"/>
          <w:szCs w:val="24"/>
          <w:lang w:val="es-ES_tradnl"/>
        </w:rPr>
        <w:t xml:space="preserve"> </w:t>
      </w:r>
      <w:r w:rsidRPr="00DC3FF0">
        <w:rPr>
          <w:rFonts w:ascii="Times New Roman" w:hAnsi="Times New Roman"/>
          <w:b w:val="0"/>
          <w:color w:val="000000"/>
          <w:sz w:val="24"/>
          <w:szCs w:val="24"/>
          <w:lang w:val="en-US"/>
        </w:rPr>
        <w:t xml:space="preserve">Calcium, phosphorus, PTH and death rates in a large sample of dialysis patients from Latin America. The CORES Study. </w:t>
      </w:r>
      <w:hyperlink r:id="rId10" w:tooltip="Nephrology, dialysis, transplantation : official publication of the European Dialysis and Transplant Association - European Renal Association." w:history="1">
        <w:r w:rsidRPr="00DC3FF0">
          <w:rPr>
            <w:rStyle w:val="Hyperlink"/>
            <w:rFonts w:ascii="Times New Roman" w:hAnsi="Times New Roman"/>
            <w:color w:val="000000"/>
            <w:sz w:val="24"/>
            <w:szCs w:val="24"/>
            <w:u w:val="none"/>
            <w:lang w:val="en-US"/>
          </w:rPr>
          <w:t>Nephrology</w:t>
        </w:r>
        <w:proofErr w:type="gramStart"/>
        <w:r w:rsidRPr="00DC3FF0">
          <w:rPr>
            <w:rStyle w:val="Hyperlink"/>
            <w:rFonts w:ascii="Times New Roman" w:hAnsi="Times New Roman"/>
            <w:color w:val="000000"/>
            <w:sz w:val="24"/>
            <w:szCs w:val="24"/>
            <w:u w:val="none"/>
            <w:lang w:val="en-US"/>
          </w:rPr>
          <w:t>,  Dialysis</w:t>
        </w:r>
        <w:proofErr w:type="gramEnd"/>
        <w:r w:rsidRPr="00DC3FF0">
          <w:rPr>
            <w:rStyle w:val="Hyperlink"/>
            <w:rFonts w:ascii="Times New Roman" w:hAnsi="Times New Roman"/>
            <w:color w:val="000000"/>
            <w:sz w:val="24"/>
            <w:szCs w:val="24"/>
            <w:u w:val="none"/>
            <w:lang w:val="en-US"/>
          </w:rPr>
          <w:t>, Transplantation</w:t>
        </w:r>
      </w:hyperlink>
      <w:r w:rsidRPr="00DC3FF0">
        <w:rPr>
          <w:rFonts w:ascii="Times New Roman" w:hAnsi="Times New Roman"/>
          <w:color w:val="auto"/>
          <w:sz w:val="24"/>
          <w:szCs w:val="24"/>
          <w:lang w:val="en-US"/>
        </w:rPr>
        <w:t xml:space="preserve">, </w:t>
      </w:r>
      <w:r w:rsidRPr="00DC3FF0">
        <w:rPr>
          <w:rFonts w:ascii="Times New Roman" w:hAnsi="Times New Roman"/>
          <w:b w:val="0"/>
          <w:color w:val="auto"/>
          <w:sz w:val="24"/>
          <w:szCs w:val="24"/>
          <w:lang w:val="en-US"/>
        </w:rPr>
        <w:t>Oxford,</w:t>
      </w:r>
      <w:r w:rsidRPr="00DC3FF0">
        <w:rPr>
          <w:rFonts w:ascii="Times New Roman" w:hAnsi="Times New Roman"/>
          <w:color w:val="auto"/>
          <w:sz w:val="24"/>
          <w:szCs w:val="24"/>
          <w:lang w:val="en-US"/>
        </w:rPr>
        <w:t xml:space="preserve"> </w:t>
      </w:r>
      <w:r w:rsidRPr="00DC3FF0">
        <w:rPr>
          <w:rFonts w:ascii="Times New Roman" w:hAnsi="Times New Roman"/>
          <w:b w:val="0"/>
          <w:color w:val="000000"/>
          <w:sz w:val="24"/>
          <w:szCs w:val="24"/>
          <w:lang w:val="en-US"/>
        </w:rPr>
        <w:t>v.26, n</w:t>
      </w:r>
      <w:r w:rsidR="00D94E79">
        <w:rPr>
          <w:rFonts w:ascii="Times New Roman" w:hAnsi="Times New Roman"/>
          <w:b w:val="0"/>
          <w:color w:val="000000"/>
          <w:sz w:val="24"/>
          <w:szCs w:val="24"/>
          <w:lang w:val="en-US"/>
        </w:rPr>
        <w:t>o</w:t>
      </w:r>
      <w:r w:rsidRPr="00DC3FF0">
        <w:rPr>
          <w:rFonts w:ascii="Times New Roman" w:hAnsi="Times New Roman"/>
          <w:b w:val="0"/>
          <w:color w:val="000000"/>
          <w:sz w:val="24"/>
          <w:szCs w:val="24"/>
          <w:lang w:val="en-US"/>
        </w:rPr>
        <w:t>.6,  p.1938-47, 2011.</w:t>
      </w:r>
    </w:p>
    <w:p w:rsidR="00B206A4" w:rsidRPr="00DC3FF0" w:rsidRDefault="00B206A4" w:rsidP="00BC2F0A">
      <w:pPr>
        <w:rPr>
          <w:rFonts w:ascii="Times New Roman" w:hAnsi="Times New Roman"/>
          <w:sz w:val="24"/>
          <w:szCs w:val="24"/>
          <w:lang w:val="en-US"/>
        </w:rPr>
      </w:pPr>
    </w:p>
    <w:p w:rsidR="00B206A4" w:rsidRPr="00DC3FF0" w:rsidRDefault="00B206A4" w:rsidP="00DC3FF0">
      <w:pPr>
        <w:pStyle w:val="Ttulo1"/>
        <w:spacing w:before="0" w:line="360" w:lineRule="auto"/>
        <w:rPr>
          <w:rFonts w:ascii="Times New Roman" w:hAnsi="Times New Roman"/>
          <w:b w:val="0"/>
          <w:color w:val="000000"/>
          <w:sz w:val="24"/>
          <w:szCs w:val="24"/>
        </w:rPr>
      </w:pPr>
      <w:r>
        <w:rPr>
          <w:rFonts w:ascii="Times New Roman" w:hAnsi="Times New Roman"/>
          <w:b w:val="0"/>
          <w:color w:val="000000"/>
          <w:sz w:val="24"/>
          <w:szCs w:val="24"/>
        </w:rPr>
        <w:t>PINHEIRO, M. E. et al</w:t>
      </w:r>
      <w:r w:rsidRPr="00DC3FF0">
        <w:rPr>
          <w:rFonts w:ascii="Times New Roman" w:hAnsi="Times New Roman"/>
          <w:b w:val="0"/>
          <w:color w:val="000000"/>
          <w:sz w:val="24"/>
          <w:szCs w:val="24"/>
        </w:rPr>
        <w:t xml:space="preserve">. </w:t>
      </w:r>
      <w:r w:rsidRPr="00DC3FF0">
        <w:rPr>
          <w:rFonts w:ascii="Times New Roman" w:hAnsi="Times New Roman"/>
          <w:b w:val="0"/>
          <w:bCs w:val="0"/>
          <w:color w:val="000000"/>
          <w:sz w:val="24"/>
          <w:szCs w:val="24"/>
        </w:rPr>
        <w:t xml:space="preserve">Hipertensão arterial na diálise e no transplante renal. </w:t>
      </w:r>
      <w:r w:rsidRPr="00DC3FF0">
        <w:rPr>
          <w:rFonts w:ascii="Times New Roman" w:hAnsi="Times New Roman"/>
          <w:color w:val="000000"/>
          <w:sz w:val="24"/>
          <w:szCs w:val="24"/>
        </w:rPr>
        <w:t>Jornal Brasileiro de Nefrologia</w:t>
      </w:r>
      <w:r w:rsidRPr="00DC3FF0">
        <w:rPr>
          <w:rFonts w:ascii="Times New Roman" w:hAnsi="Times New Roman"/>
          <w:b w:val="0"/>
          <w:color w:val="000000"/>
          <w:sz w:val="24"/>
          <w:szCs w:val="24"/>
        </w:rPr>
        <w:t>, São Paulo, v.25, n.3, p.142-8, 2003.</w:t>
      </w:r>
    </w:p>
    <w:p w:rsidR="00B206A4" w:rsidRPr="00DC3FF0" w:rsidRDefault="00B206A4" w:rsidP="00BC2F0A">
      <w:pPr>
        <w:rPr>
          <w:rFonts w:ascii="Times New Roman" w:hAnsi="Times New Roman"/>
          <w:sz w:val="24"/>
          <w:szCs w:val="24"/>
        </w:rPr>
      </w:pPr>
    </w:p>
    <w:p w:rsidR="00B206A4" w:rsidRPr="00DC3FF0" w:rsidRDefault="00B206A4" w:rsidP="00DC3FF0">
      <w:pPr>
        <w:autoSpaceDE w:val="0"/>
        <w:autoSpaceDN w:val="0"/>
        <w:adjustRightInd w:val="0"/>
        <w:spacing w:after="0" w:line="360" w:lineRule="auto"/>
        <w:rPr>
          <w:rFonts w:ascii="Times New Roman" w:hAnsi="Times New Roman"/>
          <w:color w:val="000000"/>
          <w:sz w:val="24"/>
          <w:szCs w:val="24"/>
          <w:lang w:val="en-US"/>
        </w:rPr>
      </w:pPr>
      <w:r w:rsidRPr="00FE3D83">
        <w:rPr>
          <w:rFonts w:ascii="Times New Roman" w:hAnsi="Times New Roman"/>
          <w:color w:val="000000"/>
          <w:sz w:val="24"/>
          <w:szCs w:val="24"/>
        </w:rPr>
        <w:t xml:space="preserve">PISONI, R. L. </w:t>
      </w:r>
      <w:r w:rsidRPr="00FE3D83">
        <w:rPr>
          <w:rFonts w:ascii="Times New Roman" w:hAnsi="Times New Roman"/>
          <w:iCs/>
          <w:color w:val="000000"/>
          <w:sz w:val="24"/>
          <w:szCs w:val="24"/>
        </w:rPr>
        <w:t>et al</w:t>
      </w:r>
      <w:r w:rsidRPr="00FE3D83">
        <w:rPr>
          <w:rFonts w:ascii="Times New Roman" w:hAnsi="Times New Roman"/>
          <w:color w:val="000000"/>
          <w:sz w:val="24"/>
          <w:szCs w:val="24"/>
        </w:rPr>
        <w:t xml:space="preserve">. </w:t>
      </w:r>
      <w:r w:rsidRPr="00DC3FF0">
        <w:rPr>
          <w:rFonts w:ascii="Times New Roman" w:hAnsi="Times New Roman"/>
          <w:color w:val="000000"/>
          <w:sz w:val="24"/>
          <w:szCs w:val="24"/>
          <w:lang w:val="en-US"/>
        </w:rPr>
        <w:t xml:space="preserve">Anemia management and outcomes from 12 countries in the Dialysis Outcomes and Practice Patterns Study ( DOPPS). </w:t>
      </w:r>
      <w:r w:rsidRPr="00DC3FF0">
        <w:rPr>
          <w:rFonts w:ascii="Times New Roman" w:hAnsi="Times New Roman"/>
          <w:b/>
          <w:color w:val="000000"/>
          <w:sz w:val="24"/>
          <w:szCs w:val="24"/>
          <w:lang w:val="en-US"/>
        </w:rPr>
        <w:t>American Journal of Kidney Diseases</w:t>
      </w:r>
      <w:r w:rsidRPr="00DC3FF0">
        <w:rPr>
          <w:rFonts w:ascii="Times New Roman" w:hAnsi="Times New Roman"/>
          <w:color w:val="000000"/>
          <w:sz w:val="24"/>
          <w:szCs w:val="24"/>
          <w:lang w:val="en-US"/>
        </w:rPr>
        <w:t>, New York, v.44, n</w:t>
      </w:r>
      <w:r w:rsidR="00D94E79">
        <w:rPr>
          <w:rFonts w:ascii="Times New Roman" w:hAnsi="Times New Roman"/>
          <w:color w:val="000000"/>
          <w:sz w:val="24"/>
          <w:szCs w:val="24"/>
          <w:lang w:val="en-US"/>
        </w:rPr>
        <w:t>o</w:t>
      </w:r>
      <w:r w:rsidRPr="00DC3FF0">
        <w:rPr>
          <w:rFonts w:ascii="Times New Roman" w:hAnsi="Times New Roman"/>
          <w:color w:val="000000"/>
          <w:sz w:val="24"/>
          <w:szCs w:val="24"/>
          <w:lang w:val="en-US"/>
        </w:rPr>
        <w:t>.1, p.94-111, 2004.</w:t>
      </w:r>
    </w:p>
    <w:p w:rsidR="00B206A4" w:rsidRPr="00DC3FF0" w:rsidRDefault="00B206A4" w:rsidP="00BC2F0A">
      <w:pPr>
        <w:pStyle w:val="PargrafodaLista"/>
        <w:autoSpaceDE w:val="0"/>
        <w:autoSpaceDN w:val="0"/>
        <w:adjustRightInd w:val="0"/>
        <w:spacing w:after="0" w:line="360" w:lineRule="auto"/>
        <w:rPr>
          <w:rFonts w:ascii="Times New Roman" w:hAnsi="Times New Roman"/>
          <w:color w:val="000000"/>
          <w:sz w:val="24"/>
          <w:szCs w:val="24"/>
          <w:lang w:val="en-US"/>
        </w:rPr>
      </w:pPr>
    </w:p>
    <w:p w:rsidR="00B206A4" w:rsidRPr="00DC3FF0" w:rsidRDefault="00B206A4" w:rsidP="00DC3FF0">
      <w:pPr>
        <w:autoSpaceDE w:val="0"/>
        <w:autoSpaceDN w:val="0"/>
        <w:adjustRightInd w:val="0"/>
        <w:spacing w:after="0" w:line="360" w:lineRule="auto"/>
        <w:rPr>
          <w:rFonts w:ascii="Times New Roman" w:hAnsi="Times New Roman"/>
          <w:color w:val="000000"/>
          <w:sz w:val="24"/>
          <w:szCs w:val="24"/>
          <w:lang w:val="en-US" w:eastAsia="pt-BR"/>
        </w:rPr>
      </w:pPr>
      <w:r w:rsidRPr="00FE3D83">
        <w:rPr>
          <w:rFonts w:ascii="Times New Roman" w:hAnsi="Times New Roman"/>
          <w:sz w:val="24"/>
          <w:szCs w:val="24"/>
          <w:lang w:val="it-IT" w:eastAsia="pt-BR"/>
        </w:rPr>
        <w:t xml:space="preserve">QURESHI, A. R. </w:t>
      </w:r>
      <w:r w:rsidRPr="00FE3D83">
        <w:rPr>
          <w:rFonts w:ascii="Times New Roman" w:hAnsi="Times New Roman"/>
          <w:color w:val="000000"/>
          <w:sz w:val="24"/>
          <w:szCs w:val="24"/>
          <w:lang w:val="it-IT" w:eastAsia="pt-BR"/>
        </w:rPr>
        <w:t xml:space="preserve">et al. </w:t>
      </w:r>
      <w:r w:rsidRPr="00DC3FF0">
        <w:rPr>
          <w:rFonts w:ascii="Times New Roman" w:hAnsi="Times New Roman"/>
          <w:color w:val="000000"/>
          <w:sz w:val="24"/>
          <w:szCs w:val="24"/>
          <w:lang w:val="en-US" w:eastAsia="pt-BR"/>
        </w:rPr>
        <w:t xml:space="preserve">Inflammation, malnutrition, and cardiac disease as predictors of mortality in hemodialysis patients. </w:t>
      </w:r>
      <w:r w:rsidRPr="00DC3FF0">
        <w:rPr>
          <w:rFonts w:ascii="Times New Roman" w:hAnsi="Times New Roman"/>
          <w:b/>
          <w:bCs/>
          <w:color w:val="000000"/>
          <w:sz w:val="24"/>
          <w:szCs w:val="24"/>
          <w:lang w:val="en-US" w:eastAsia="pt-BR"/>
        </w:rPr>
        <w:t xml:space="preserve">Journal of American Society of </w:t>
      </w:r>
      <w:proofErr w:type="spellStart"/>
      <w:r w:rsidRPr="00DC3FF0">
        <w:rPr>
          <w:rFonts w:ascii="Times New Roman" w:hAnsi="Times New Roman"/>
          <w:b/>
          <w:bCs/>
          <w:color w:val="000000"/>
          <w:sz w:val="24"/>
          <w:szCs w:val="24"/>
          <w:lang w:val="en-US" w:eastAsia="pt-BR"/>
        </w:rPr>
        <w:t>Nefhrology</w:t>
      </w:r>
      <w:proofErr w:type="spellEnd"/>
      <w:r w:rsidRPr="00DC3FF0">
        <w:rPr>
          <w:rFonts w:ascii="Times New Roman" w:hAnsi="Times New Roman"/>
          <w:bCs/>
          <w:color w:val="000000"/>
          <w:sz w:val="24"/>
          <w:szCs w:val="24"/>
          <w:lang w:val="en-US" w:eastAsia="pt-BR"/>
        </w:rPr>
        <w:t xml:space="preserve">, </w:t>
      </w:r>
      <w:proofErr w:type="spellStart"/>
      <w:r w:rsidRPr="00DC3FF0">
        <w:rPr>
          <w:rFonts w:ascii="Times New Roman" w:hAnsi="Times New Roman"/>
          <w:bCs/>
          <w:color w:val="000000"/>
          <w:sz w:val="24"/>
          <w:szCs w:val="24"/>
          <w:lang w:val="en-US" w:eastAsia="pt-BR"/>
        </w:rPr>
        <w:t>Batimore</w:t>
      </w:r>
      <w:proofErr w:type="spellEnd"/>
      <w:r w:rsidRPr="00DC3FF0">
        <w:rPr>
          <w:rFonts w:ascii="Times New Roman" w:hAnsi="Times New Roman"/>
          <w:bCs/>
          <w:color w:val="000000"/>
          <w:sz w:val="24"/>
          <w:szCs w:val="24"/>
          <w:lang w:val="en-US" w:eastAsia="pt-BR"/>
        </w:rPr>
        <w:t>,</w:t>
      </w:r>
      <w:r w:rsidRPr="00DC3FF0">
        <w:rPr>
          <w:rFonts w:ascii="Times New Roman" w:hAnsi="Times New Roman"/>
          <w:b/>
          <w:bCs/>
          <w:color w:val="000000"/>
          <w:sz w:val="24"/>
          <w:szCs w:val="24"/>
          <w:lang w:val="en-US" w:eastAsia="pt-BR"/>
        </w:rPr>
        <w:t xml:space="preserve"> </w:t>
      </w:r>
      <w:r w:rsidRPr="00DC3FF0">
        <w:rPr>
          <w:rFonts w:ascii="Times New Roman" w:hAnsi="Times New Roman"/>
          <w:color w:val="000000"/>
          <w:sz w:val="24"/>
          <w:szCs w:val="24"/>
          <w:lang w:val="en-US" w:eastAsia="pt-BR"/>
        </w:rPr>
        <w:t>v.13, n</w:t>
      </w:r>
      <w:r w:rsidR="00D94E79">
        <w:rPr>
          <w:rFonts w:ascii="Times New Roman" w:hAnsi="Times New Roman"/>
          <w:color w:val="000000"/>
          <w:sz w:val="24"/>
          <w:szCs w:val="24"/>
          <w:lang w:val="en-US" w:eastAsia="pt-BR"/>
        </w:rPr>
        <w:t>o</w:t>
      </w:r>
      <w:r w:rsidRPr="00DC3FF0">
        <w:rPr>
          <w:rFonts w:ascii="Times New Roman" w:hAnsi="Times New Roman"/>
          <w:color w:val="000000"/>
          <w:sz w:val="24"/>
          <w:szCs w:val="24"/>
          <w:lang w:val="en-US" w:eastAsia="pt-BR"/>
        </w:rPr>
        <w:t>.1, p.28-36, 2002.</w:t>
      </w:r>
    </w:p>
    <w:p w:rsidR="00B206A4" w:rsidRPr="00DC3FF0" w:rsidRDefault="00B206A4" w:rsidP="00BC2F0A">
      <w:pPr>
        <w:autoSpaceDE w:val="0"/>
        <w:autoSpaceDN w:val="0"/>
        <w:adjustRightInd w:val="0"/>
        <w:spacing w:after="0" w:line="360" w:lineRule="auto"/>
        <w:rPr>
          <w:rFonts w:ascii="Times New Roman" w:hAnsi="Times New Roman"/>
          <w:color w:val="000000"/>
          <w:sz w:val="24"/>
          <w:szCs w:val="24"/>
          <w:lang w:val="en-US"/>
        </w:rPr>
      </w:pPr>
    </w:p>
    <w:p w:rsidR="00B206A4" w:rsidRPr="00DC3FF0" w:rsidRDefault="00B206A4" w:rsidP="00DC3FF0">
      <w:pPr>
        <w:spacing w:after="0" w:line="360" w:lineRule="auto"/>
        <w:rPr>
          <w:rFonts w:ascii="Times New Roman" w:hAnsi="Times New Roman"/>
          <w:sz w:val="24"/>
          <w:szCs w:val="24"/>
        </w:rPr>
      </w:pPr>
      <w:r w:rsidRPr="00FE3D83">
        <w:rPr>
          <w:rFonts w:ascii="Times New Roman" w:hAnsi="Times New Roman"/>
          <w:sz w:val="24"/>
          <w:szCs w:val="24"/>
          <w:lang w:val="it-IT"/>
        </w:rPr>
        <w:t xml:space="preserve">RIELLA, M. C. et </w:t>
      </w:r>
      <w:r>
        <w:rPr>
          <w:rFonts w:ascii="Times New Roman" w:hAnsi="Times New Roman"/>
          <w:sz w:val="24"/>
          <w:szCs w:val="24"/>
          <w:lang w:val="it-IT"/>
        </w:rPr>
        <w:t>al.</w:t>
      </w:r>
      <w:r w:rsidRPr="00FE3D83">
        <w:rPr>
          <w:rFonts w:ascii="Times New Roman" w:hAnsi="Times New Roman"/>
          <w:sz w:val="24"/>
          <w:szCs w:val="24"/>
          <w:lang w:val="it-IT"/>
        </w:rPr>
        <w:t xml:space="preserve"> </w:t>
      </w:r>
      <w:r w:rsidRPr="00DC3FF0">
        <w:rPr>
          <w:rFonts w:ascii="Times New Roman" w:hAnsi="Times New Roman"/>
          <w:sz w:val="24"/>
          <w:szCs w:val="24"/>
        </w:rPr>
        <w:t xml:space="preserve">Insuficiência renal crônica: fisiopatologia da uremia. In: RIELLA, Miguel C. </w:t>
      </w:r>
      <w:r w:rsidRPr="00DC3FF0">
        <w:rPr>
          <w:rFonts w:ascii="Times New Roman" w:hAnsi="Times New Roman"/>
          <w:b/>
          <w:sz w:val="24"/>
          <w:szCs w:val="24"/>
        </w:rPr>
        <w:t>Princípios de nefrologia hidroeletrolíticos</w:t>
      </w:r>
      <w:r w:rsidRPr="00DC3FF0">
        <w:rPr>
          <w:rFonts w:ascii="Times New Roman" w:hAnsi="Times New Roman"/>
          <w:sz w:val="24"/>
          <w:szCs w:val="24"/>
        </w:rPr>
        <w:t>. 4. Ed. Rio de Janeiro: Guanabara Koogan. cap. 37, p.661-690, 2003.</w:t>
      </w:r>
    </w:p>
    <w:p w:rsidR="00B206A4" w:rsidRPr="00DC3FF0" w:rsidRDefault="00B206A4" w:rsidP="00BC2F0A">
      <w:pPr>
        <w:spacing w:after="0" w:line="360" w:lineRule="auto"/>
        <w:rPr>
          <w:rFonts w:ascii="Times New Roman" w:hAnsi="Times New Roman"/>
          <w:sz w:val="24"/>
          <w:szCs w:val="24"/>
        </w:rPr>
      </w:pPr>
    </w:p>
    <w:p w:rsidR="00B206A4" w:rsidRPr="00DC3FF0" w:rsidRDefault="00B206A4" w:rsidP="00DC3FF0">
      <w:pPr>
        <w:spacing w:after="0" w:line="360" w:lineRule="auto"/>
        <w:rPr>
          <w:rFonts w:ascii="Times New Roman" w:hAnsi="Times New Roman"/>
          <w:sz w:val="24"/>
          <w:szCs w:val="24"/>
          <w:lang w:val="en-US"/>
        </w:rPr>
      </w:pPr>
      <w:r w:rsidRPr="00DC3FF0">
        <w:rPr>
          <w:rFonts w:ascii="Times New Roman" w:hAnsi="Times New Roman"/>
          <w:sz w:val="24"/>
          <w:szCs w:val="24"/>
          <w:lang w:eastAsia="pt-BR"/>
        </w:rPr>
        <w:t>RONCO, C. M. D.</w:t>
      </w:r>
      <w:r>
        <w:rPr>
          <w:rFonts w:ascii="Times New Roman" w:hAnsi="Times New Roman"/>
          <w:sz w:val="24"/>
          <w:szCs w:val="24"/>
          <w:lang w:eastAsia="pt-BR"/>
        </w:rPr>
        <w:t xml:space="preserve"> et al</w:t>
      </w:r>
      <w:r w:rsidRPr="00DC3FF0">
        <w:rPr>
          <w:rFonts w:ascii="Times New Roman" w:hAnsi="Times New Roman"/>
          <w:sz w:val="24"/>
          <w:szCs w:val="24"/>
          <w:lang w:eastAsia="pt-BR"/>
        </w:rPr>
        <w:t xml:space="preserve">. </w:t>
      </w:r>
      <w:proofErr w:type="spellStart"/>
      <w:r w:rsidRPr="00FE3D83">
        <w:rPr>
          <w:rFonts w:ascii="Times New Roman" w:hAnsi="Times New Roman"/>
          <w:color w:val="000000"/>
          <w:sz w:val="24"/>
          <w:szCs w:val="24"/>
          <w:lang w:val="en-US" w:eastAsia="pt-BR"/>
        </w:rPr>
        <w:t>Cardiorenal</w:t>
      </w:r>
      <w:proofErr w:type="spellEnd"/>
      <w:r w:rsidRPr="00FE3D83">
        <w:rPr>
          <w:rFonts w:ascii="Times New Roman" w:hAnsi="Times New Roman"/>
          <w:color w:val="000000"/>
          <w:sz w:val="24"/>
          <w:szCs w:val="24"/>
          <w:lang w:val="en-US" w:eastAsia="pt-BR"/>
        </w:rPr>
        <w:t xml:space="preserve"> syndrome. </w:t>
      </w:r>
      <w:r w:rsidRPr="00DC3FF0">
        <w:rPr>
          <w:rFonts w:ascii="Times New Roman" w:hAnsi="Times New Roman"/>
          <w:b/>
          <w:sz w:val="24"/>
          <w:szCs w:val="24"/>
          <w:lang w:val="en-US"/>
        </w:rPr>
        <w:t>Journal of the American College of Cardiology</w:t>
      </w:r>
      <w:r w:rsidRPr="00DC3FF0">
        <w:rPr>
          <w:rFonts w:ascii="Times New Roman" w:hAnsi="Times New Roman"/>
          <w:sz w:val="24"/>
          <w:szCs w:val="24"/>
          <w:lang w:val="en-US"/>
        </w:rPr>
        <w:t>,</w:t>
      </w:r>
      <w:r w:rsidRPr="00DC3FF0">
        <w:rPr>
          <w:rFonts w:ascii="Times New Roman" w:hAnsi="Times New Roman"/>
          <w:b/>
          <w:sz w:val="24"/>
          <w:szCs w:val="24"/>
          <w:lang w:val="en-US"/>
        </w:rPr>
        <w:t xml:space="preserve"> </w:t>
      </w:r>
      <w:r w:rsidRPr="00DC3FF0">
        <w:rPr>
          <w:rFonts w:ascii="Times New Roman" w:hAnsi="Times New Roman"/>
          <w:sz w:val="24"/>
          <w:szCs w:val="24"/>
          <w:lang w:val="en-US"/>
        </w:rPr>
        <w:t>New York,</w:t>
      </w:r>
      <w:r w:rsidRPr="00DC3FF0">
        <w:rPr>
          <w:rFonts w:ascii="Times New Roman" w:hAnsi="Times New Roman"/>
          <w:b/>
          <w:sz w:val="24"/>
          <w:szCs w:val="24"/>
          <w:lang w:val="en-US"/>
        </w:rPr>
        <w:t xml:space="preserve"> </w:t>
      </w:r>
      <w:r w:rsidRPr="00DC3FF0">
        <w:rPr>
          <w:rFonts w:ascii="Times New Roman" w:hAnsi="Times New Roman"/>
          <w:sz w:val="24"/>
          <w:szCs w:val="24"/>
          <w:lang w:val="en-US"/>
        </w:rPr>
        <w:t>v. 52, n</w:t>
      </w:r>
      <w:r w:rsidR="00D94E79">
        <w:rPr>
          <w:rFonts w:ascii="Times New Roman" w:hAnsi="Times New Roman"/>
          <w:sz w:val="24"/>
          <w:szCs w:val="24"/>
          <w:lang w:val="en-US"/>
        </w:rPr>
        <w:t>o</w:t>
      </w:r>
      <w:r w:rsidRPr="00DC3FF0">
        <w:rPr>
          <w:rFonts w:ascii="Times New Roman" w:hAnsi="Times New Roman"/>
          <w:sz w:val="24"/>
          <w:szCs w:val="24"/>
          <w:lang w:val="en-US"/>
        </w:rPr>
        <w:t xml:space="preserve">.19, p.1527-1539, 2008. </w:t>
      </w:r>
    </w:p>
    <w:p w:rsidR="00B206A4" w:rsidRPr="00DC3FF0" w:rsidRDefault="00B206A4" w:rsidP="00BC2F0A">
      <w:pPr>
        <w:pStyle w:val="PargrafodaLista"/>
        <w:spacing w:after="0" w:line="360" w:lineRule="auto"/>
        <w:rPr>
          <w:rFonts w:ascii="Times New Roman" w:hAnsi="Times New Roman"/>
          <w:sz w:val="24"/>
          <w:szCs w:val="24"/>
          <w:lang w:val="en-US"/>
        </w:rPr>
      </w:pPr>
    </w:p>
    <w:p w:rsidR="00B206A4" w:rsidRPr="00DC3FF0" w:rsidRDefault="00B206A4" w:rsidP="00DC3FF0">
      <w:pPr>
        <w:spacing w:after="0" w:line="360" w:lineRule="auto"/>
        <w:rPr>
          <w:rFonts w:ascii="Times New Roman" w:hAnsi="Times New Roman"/>
          <w:color w:val="000000"/>
          <w:sz w:val="24"/>
          <w:szCs w:val="24"/>
          <w:lang w:val="en-US" w:eastAsia="pt-BR"/>
        </w:rPr>
      </w:pPr>
      <w:r w:rsidRPr="00DC3FF0">
        <w:rPr>
          <w:rFonts w:ascii="Times New Roman" w:hAnsi="Times New Roman"/>
          <w:color w:val="000000"/>
          <w:sz w:val="24"/>
          <w:szCs w:val="24"/>
          <w:lang w:val="en-US" w:eastAsia="pt-BR"/>
        </w:rPr>
        <w:lastRenderedPageBreak/>
        <w:t>SALAHUDEEN, A. K.</w:t>
      </w:r>
      <w:r>
        <w:rPr>
          <w:rFonts w:ascii="Times New Roman" w:hAnsi="Times New Roman"/>
          <w:color w:val="000000"/>
          <w:sz w:val="24"/>
          <w:szCs w:val="24"/>
          <w:lang w:val="en-US" w:eastAsia="pt-BR"/>
        </w:rPr>
        <w:t xml:space="preserve"> et al</w:t>
      </w:r>
      <w:r w:rsidRPr="00DC3FF0">
        <w:rPr>
          <w:rFonts w:ascii="Times New Roman" w:hAnsi="Times New Roman"/>
          <w:color w:val="000000"/>
          <w:sz w:val="24"/>
          <w:szCs w:val="24"/>
          <w:lang w:val="en-US" w:eastAsia="pt-BR"/>
        </w:rPr>
        <w:t xml:space="preserve">. Risk factors for higher mortality at highest levels of </w:t>
      </w:r>
      <w:proofErr w:type="spellStart"/>
      <w:r w:rsidRPr="00DC3FF0">
        <w:rPr>
          <w:rFonts w:ascii="Times New Roman" w:hAnsi="Times New Roman"/>
          <w:color w:val="000000"/>
          <w:sz w:val="24"/>
          <w:szCs w:val="24"/>
          <w:lang w:val="en-US" w:eastAsia="pt-BR"/>
        </w:rPr>
        <w:t>spKt</w:t>
      </w:r>
      <w:proofErr w:type="spellEnd"/>
      <w:r w:rsidRPr="00DC3FF0">
        <w:rPr>
          <w:rFonts w:ascii="Times New Roman" w:hAnsi="Times New Roman"/>
          <w:color w:val="000000"/>
          <w:sz w:val="24"/>
          <w:szCs w:val="24"/>
          <w:lang w:val="en-US" w:eastAsia="pt-BR"/>
        </w:rPr>
        <w:t xml:space="preserve">/V in </w:t>
      </w:r>
      <w:proofErr w:type="spellStart"/>
      <w:r w:rsidRPr="00DC3FF0">
        <w:rPr>
          <w:rFonts w:ascii="Times New Roman" w:hAnsi="Times New Roman"/>
          <w:color w:val="000000"/>
          <w:sz w:val="24"/>
          <w:szCs w:val="24"/>
          <w:lang w:val="en-US" w:eastAsia="pt-BR"/>
        </w:rPr>
        <w:t>haemodialysis</w:t>
      </w:r>
      <w:proofErr w:type="spellEnd"/>
      <w:r w:rsidRPr="00DC3FF0">
        <w:rPr>
          <w:rFonts w:ascii="Times New Roman" w:hAnsi="Times New Roman"/>
          <w:color w:val="000000"/>
          <w:sz w:val="24"/>
          <w:szCs w:val="24"/>
          <w:lang w:val="en-US" w:eastAsia="pt-BR"/>
        </w:rPr>
        <w:t xml:space="preserve"> patients. </w:t>
      </w:r>
      <w:r w:rsidRPr="00DC3FF0">
        <w:rPr>
          <w:rFonts w:ascii="Times New Roman" w:hAnsi="Times New Roman"/>
          <w:b/>
          <w:bCs/>
          <w:color w:val="000000"/>
          <w:sz w:val="24"/>
          <w:szCs w:val="24"/>
          <w:lang w:val="en-US" w:eastAsia="pt-BR"/>
        </w:rPr>
        <w:t>Nephrology, Dialysis, Transplantation</w:t>
      </w:r>
      <w:r w:rsidRPr="00DC3FF0">
        <w:rPr>
          <w:rFonts w:ascii="Times New Roman" w:hAnsi="Times New Roman"/>
          <w:bCs/>
          <w:color w:val="000000"/>
          <w:sz w:val="24"/>
          <w:szCs w:val="24"/>
          <w:lang w:val="en-US" w:eastAsia="pt-BR"/>
        </w:rPr>
        <w:t>,</w:t>
      </w:r>
      <w:r w:rsidRPr="00DC3FF0">
        <w:rPr>
          <w:rFonts w:ascii="Times New Roman" w:hAnsi="Times New Roman"/>
          <w:b/>
          <w:bCs/>
          <w:color w:val="000000"/>
          <w:sz w:val="24"/>
          <w:szCs w:val="24"/>
          <w:lang w:val="en-US" w:eastAsia="pt-BR"/>
        </w:rPr>
        <w:t xml:space="preserve"> </w:t>
      </w:r>
      <w:r w:rsidRPr="00DC3FF0">
        <w:rPr>
          <w:rFonts w:ascii="Times New Roman" w:hAnsi="Times New Roman"/>
          <w:bCs/>
          <w:color w:val="000000"/>
          <w:sz w:val="24"/>
          <w:szCs w:val="24"/>
          <w:lang w:val="en-US" w:eastAsia="pt-BR"/>
        </w:rPr>
        <w:t>Oxford,</w:t>
      </w:r>
      <w:r w:rsidRPr="00DC3FF0">
        <w:rPr>
          <w:rFonts w:ascii="Times New Roman" w:hAnsi="Times New Roman"/>
          <w:b/>
          <w:bCs/>
          <w:color w:val="000000"/>
          <w:sz w:val="24"/>
          <w:szCs w:val="24"/>
          <w:lang w:val="en-US" w:eastAsia="pt-BR"/>
        </w:rPr>
        <w:t xml:space="preserve"> </w:t>
      </w:r>
      <w:r w:rsidRPr="00DC3FF0">
        <w:rPr>
          <w:rFonts w:ascii="Times New Roman" w:hAnsi="Times New Roman"/>
          <w:color w:val="000000"/>
          <w:sz w:val="24"/>
          <w:szCs w:val="24"/>
          <w:lang w:val="en-US" w:eastAsia="pt-BR"/>
        </w:rPr>
        <w:t>v.18, n</w:t>
      </w:r>
      <w:r w:rsidR="00D94E79">
        <w:rPr>
          <w:rFonts w:ascii="Times New Roman" w:hAnsi="Times New Roman"/>
          <w:color w:val="000000"/>
          <w:sz w:val="24"/>
          <w:szCs w:val="24"/>
          <w:lang w:val="en-US" w:eastAsia="pt-BR"/>
        </w:rPr>
        <w:t>o</w:t>
      </w:r>
      <w:r w:rsidRPr="00DC3FF0">
        <w:rPr>
          <w:rFonts w:ascii="Times New Roman" w:hAnsi="Times New Roman"/>
          <w:color w:val="000000"/>
          <w:sz w:val="24"/>
          <w:szCs w:val="24"/>
          <w:lang w:val="en-US" w:eastAsia="pt-BR"/>
        </w:rPr>
        <w:t>.7, p.1339-1344, 2003.</w:t>
      </w:r>
    </w:p>
    <w:p w:rsidR="00B206A4" w:rsidRPr="00DC3FF0" w:rsidRDefault="00B206A4" w:rsidP="00BC2F0A">
      <w:pPr>
        <w:spacing w:after="0" w:line="360" w:lineRule="auto"/>
        <w:ind w:firstLine="120"/>
        <w:rPr>
          <w:rFonts w:ascii="Times New Roman" w:hAnsi="Times New Roman"/>
          <w:color w:val="000000"/>
          <w:sz w:val="24"/>
          <w:szCs w:val="24"/>
          <w:lang w:val="en-US" w:eastAsia="pt-BR"/>
        </w:rPr>
      </w:pPr>
    </w:p>
    <w:p w:rsidR="00B206A4" w:rsidRPr="00DC3FF0" w:rsidRDefault="00B206A4" w:rsidP="00DC3FF0">
      <w:pPr>
        <w:spacing w:after="0" w:line="360" w:lineRule="auto"/>
        <w:rPr>
          <w:rFonts w:ascii="Times New Roman" w:hAnsi="Times New Roman"/>
          <w:color w:val="231F20"/>
          <w:sz w:val="24"/>
          <w:szCs w:val="24"/>
          <w:lang w:eastAsia="pt-BR"/>
        </w:rPr>
      </w:pPr>
      <w:r w:rsidRPr="00582C79">
        <w:rPr>
          <w:rFonts w:ascii="Times New Roman" w:hAnsi="Times New Roman"/>
          <w:color w:val="231F20"/>
          <w:sz w:val="24"/>
          <w:szCs w:val="24"/>
          <w:lang w:eastAsia="pt-BR"/>
        </w:rPr>
        <w:t xml:space="preserve">SANTOS, N. S. J. </w:t>
      </w:r>
      <w:proofErr w:type="gramStart"/>
      <w:r w:rsidRPr="00582C79">
        <w:rPr>
          <w:rFonts w:ascii="Times New Roman" w:hAnsi="Times New Roman"/>
          <w:color w:val="231F20"/>
          <w:sz w:val="24"/>
          <w:szCs w:val="24"/>
          <w:lang w:eastAsia="pt-BR"/>
        </w:rPr>
        <w:t>et</w:t>
      </w:r>
      <w:proofErr w:type="gramEnd"/>
      <w:r w:rsidRPr="00582C79">
        <w:rPr>
          <w:rFonts w:ascii="Times New Roman" w:hAnsi="Times New Roman"/>
          <w:color w:val="231F20"/>
          <w:sz w:val="24"/>
          <w:szCs w:val="24"/>
          <w:lang w:eastAsia="pt-BR"/>
        </w:rPr>
        <w:t xml:space="preserve"> al. </w:t>
      </w:r>
      <w:r w:rsidRPr="00DC3FF0">
        <w:rPr>
          <w:rFonts w:ascii="Times New Roman" w:hAnsi="Times New Roman"/>
          <w:color w:val="231F20"/>
          <w:sz w:val="24"/>
          <w:szCs w:val="24"/>
          <w:lang w:eastAsia="pt-BR"/>
        </w:rPr>
        <w:t xml:space="preserve">Albumina sérica como marcador nutricional de pacientes em hemodiálise. </w:t>
      </w:r>
      <w:r w:rsidRPr="00DC3FF0">
        <w:rPr>
          <w:rFonts w:ascii="Times New Roman" w:hAnsi="Times New Roman"/>
          <w:b/>
          <w:bCs/>
          <w:color w:val="231F20"/>
          <w:sz w:val="24"/>
          <w:szCs w:val="24"/>
          <w:lang w:eastAsia="pt-BR"/>
        </w:rPr>
        <w:t>Revista de Nutrição</w:t>
      </w:r>
      <w:r w:rsidRPr="00DC3FF0">
        <w:rPr>
          <w:rFonts w:ascii="Times New Roman" w:hAnsi="Times New Roman"/>
          <w:bCs/>
          <w:color w:val="231F20"/>
          <w:sz w:val="24"/>
          <w:szCs w:val="24"/>
          <w:lang w:eastAsia="pt-BR"/>
        </w:rPr>
        <w:t>,</w:t>
      </w:r>
      <w:r w:rsidRPr="00DC3FF0">
        <w:rPr>
          <w:rFonts w:ascii="Times New Roman" w:hAnsi="Times New Roman"/>
          <w:b/>
          <w:bCs/>
          <w:color w:val="231F20"/>
          <w:sz w:val="24"/>
          <w:szCs w:val="24"/>
          <w:lang w:eastAsia="pt-BR"/>
        </w:rPr>
        <w:t xml:space="preserve"> </w:t>
      </w:r>
      <w:r w:rsidRPr="00DC3FF0">
        <w:rPr>
          <w:rFonts w:ascii="Times New Roman" w:hAnsi="Times New Roman"/>
          <w:color w:val="231F20"/>
          <w:sz w:val="24"/>
          <w:szCs w:val="24"/>
          <w:lang w:eastAsia="pt-BR"/>
        </w:rPr>
        <w:t>Campinas,</w:t>
      </w:r>
      <w:r w:rsidRPr="00DC3FF0">
        <w:rPr>
          <w:rFonts w:ascii="Times New Roman" w:hAnsi="Times New Roman"/>
          <w:b/>
          <w:bCs/>
          <w:color w:val="231F20"/>
          <w:sz w:val="24"/>
          <w:szCs w:val="24"/>
          <w:lang w:eastAsia="pt-BR"/>
        </w:rPr>
        <w:t xml:space="preserve"> </w:t>
      </w:r>
      <w:r w:rsidRPr="00DC3FF0">
        <w:rPr>
          <w:rFonts w:ascii="Times New Roman" w:hAnsi="Times New Roman"/>
          <w:color w:val="231F20"/>
          <w:sz w:val="24"/>
          <w:szCs w:val="24"/>
          <w:lang w:eastAsia="pt-BR"/>
        </w:rPr>
        <w:t>v.17, n.3, p. 339-349, 2004.</w:t>
      </w:r>
    </w:p>
    <w:p w:rsidR="00B206A4" w:rsidRPr="00DC3FF0" w:rsidRDefault="00B206A4" w:rsidP="00BC2F0A">
      <w:pPr>
        <w:spacing w:after="0" w:line="360" w:lineRule="auto"/>
        <w:rPr>
          <w:rFonts w:ascii="Times New Roman" w:hAnsi="Times New Roman"/>
          <w:color w:val="231F20"/>
          <w:sz w:val="24"/>
          <w:szCs w:val="24"/>
          <w:lang w:eastAsia="pt-BR"/>
        </w:rPr>
      </w:pPr>
    </w:p>
    <w:p w:rsidR="00B206A4" w:rsidRPr="00DC3FF0" w:rsidRDefault="00B206A4" w:rsidP="00DC3FF0">
      <w:pPr>
        <w:spacing w:after="0" w:line="360" w:lineRule="auto"/>
        <w:rPr>
          <w:rFonts w:ascii="Times New Roman" w:hAnsi="Times New Roman"/>
          <w:color w:val="000000"/>
          <w:sz w:val="24"/>
          <w:szCs w:val="24"/>
          <w:lang w:eastAsia="pt-BR"/>
        </w:rPr>
      </w:pPr>
      <w:r w:rsidRPr="00986AED">
        <w:rPr>
          <w:rFonts w:ascii="Times New Roman" w:hAnsi="Times New Roman"/>
          <w:color w:val="231F20"/>
          <w:sz w:val="24"/>
          <w:szCs w:val="24"/>
          <w:lang w:eastAsia="pt-BR"/>
        </w:rPr>
        <w:t xml:space="preserve">SESSO, R. C. C. et al. </w:t>
      </w:r>
      <w:proofErr w:type="spellStart"/>
      <w:r w:rsidRPr="00FE3D83">
        <w:rPr>
          <w:rFonts w:ascii="Times New Roman" w:hAnsi="Times New Roman"/>
          <w:color w:val="000000"/>
          <w:sz w:val="24"/>
          <w:szCs w:val="24"/>
          <w:lang w:eastAsia="pt-BR"/>
        </w:rPr>
        <w:t>Brazilian</w:t>
      </w:r>
      <w:proofErr w:type="spellEnd"/>
      <w:r w:rsidRPr="00FE3D83">
        <w:rPr>
          <w:rFonts w:ascii="Times New Roman" w:hAnsi="Times New Roman"/>
          <w:color w:val="000000"/>
          <w:sz w:val="24"/>
          <w:szCs w:val="24"/>
          <w:lang w:eastAsia="pt-BR"/>
        </w:rPr>
        <w:t xml:space="preserve"> </w:t>
      </w:r>
      <w:proofErr w:type="spellStart"/>
      <w:r w:rsidRPr="00FE3D83">
        <w:rPr>
          <w:rFonts w:ascii="Times New Roman" w:hAnsi="Times New Roman"/>
          <w:color w:val="000000"/>
          <w:sz w:val="24"/>
          <w:szCs w:val="24"/>
          <w:lang w:eastAsia="pt-BR"/>
        </w:rPr>
        <w:t>dialysis</w:t>
      </w:r>
      <w:proofErr w:type="spellEnd"/>
      <w:r w:rsidRPr="00FE3D83">
        <w:rPr>
          <w:rFonts w:ascii="Times New Roman" w:hAnsi="Times New Roman"/>
          <w:color w:val="000000"/>
          <w:sz w:val="24"/>
          <w:szCs w:val="24"/>
          <w:lang w:eastAsia="pt-BR"/>
        </w:rPr>
        <w:t xml:space="preserve"> </w:t>
      </w:r>
      <w:proofErr w:type="spellStart"/>
      <w:r w:rsidRPr="00FE3D83">
        <w:rPr>
          <w:rFonts w:ascii="Times New Roman" w:hAnsi="Times New Roman"/>
          <w:color w:val="000000"/>
          <w:sz w:val="24"/>
          <w:szCs w:val="24"/>
          <w:lang w:eastAsia="pt-BR"/>
        </w:rPr>
        <w:t>census</w:t>
      </w:r>
      <w:proofErr w:type="spellEnd"/>
      <w:r w:rsidRPr="00FE3D83">
        <w:rPr>
          <w:rFonts w:ascii="Times New Roman" w:hAnsi="Times New Roman"/>
          <w:color w:val="000000"/>
          <w:sz w:val="24"/>
          <w:szCs w:val="24"/>
          <w:lang w:eastAsia="pt-BR"/>
        </w:rPr>
        <w:t>, 2009.</w:t>
      </w:r>
      <w:r w:rsidRPr="00FE3D83">
        <w:rPr>
          <w:rFonts w:ascii="Times New Roman" w:hAnsi="Times New Roman"/>
          <w:b/>
          <w:bCs/>
          <w:color w:val="000000"/>
          <w:sz w:val="24"/>
          <w:szCs w:val="24"/>
          <w:lang w:eastAsia="pt-BR"/>
        </w:rPr>
        <w:t xml:space="preserve"> </w:t>
      </w:r>
      <w:r w:rsidRPr="00DC3FF0">
        <w:rPr>
          <w:rFonts w:ascii="Times New Roman" w:hAnsi="Times New Roman"/>
          <w:b/>
          <w:bCs/>
          <w:color w:val="000000"/>
          <w:sz w:val="24"/>
          <w:szCs w:val="24"/>
          <w:lang w:eastAsia="pt-BR"/>
        </w:rPr>
        <w:t>Jornal Brasileiro de Nefrologia</w:t>
      </w:r>
      <w:r w:rsidRPr="00DC3FF0">
        <w:rPr>
          <w:rFonts w:ascii="Times New Roman" w:hAnsi="Times New Roman"/>
          <w:bCs/>
          <w:color w:val="000000"/>
          <w:sz w:val="24"/>
          <w:szCs w:val="24"/>
          <w:lang w:eastAsia="pt-BR"/>
        </w:rPr>
        <w:t>,</w:t>
      </w:r>
      <w:r w:rsidRPr="00DC3FF0">
        <w:rPr>
          <w:rFonts w:ascii="Times New Roman" w:hAnsi="Times New Roman"/>
          <w:b/>
          <w:bCs/>
          <w:color w:val="000000"/>
          <w:sz w:val="24"/>
          <w:szCs w:val="24"/>
          <w:lang w:eastAsia="pt-BR"/>
        </w:rPr>
        <w:t xml:space="preserve"> </w:t>
      </w:r>
      <w:r w:rsidRPr="00DC3FF0">
        <w:rPr>
          <w:rFonts w:ascii="Times New Roman" w:hAnsi="Times New Roman"/>
          <w:color w:val="000000"/>
          <w:sz w:val="24"/>
          <w:szCs w:val="24"/>
          <w:lang w:eastAsia="pt-BR"/>
        </w:rPr>
        <w:t>São Paulo, v.32, n.4, p.374-378, 2010.</w:t>
      </w:r>
    </w:p>
    <w:p w:rsidR="00B206A4" w:rsidRPr="00DC3FF0" w:rsidRDefault="00B206A4" w:rsidP="004D1530">
      <w:pPr>
        <w:pStyle w:val="PargrafodaLista"/>
        <w:spacing w:after="0" w:line="360" w:lineRule="auto"/>
        <w:rPr>
          <w:rFonts w:ascii="Times New Roman" w:hAnsi="Times New Roman"/>
          <w:color w:val="000000"/>
          <w:sz w:val="24"/>
          <w:szCs w:val="24"/>
          <w:lang w:eastAsia="pt-BR"/>
        </w:rPr>
      </w:pPr>
    </w:p>
    <w:p w:rsidR="00B206A4" w:rsidRPr="00DC3FF0" w:rsidRDefault="00B206A4" w:rsidP="00DC3FF0">
      <w:pPr>
        <w:spacing w:after="0" w:line="360" w:lineRule="auto"/>
        <w:rPr>
          <w:rFonts w:ascii="Times New Roman" w:hAnsi="Times New Roman"/>
          <w:color w:val="000000"/>
          <w:sz w:val="24"/>
          <w:szCs w:val="24"/>
          <w:lang w:eastAsia="pt-BR"/>
        </w:rPr>
      </w:pPr>
      <w:r w:rsidRPr="00DC3FF0">
        <w:rPr>
          <w:rFonts w:ascii="Times New Roman" w:hAnsi="Times New Roman"/>
          <w:color w:val="000000"/>
          <w:sz w:val="24"/>
          <w:szCs w:val="24"/>
          <w:lang w:eastAsia="pt-BR"/>
        </w:rPr>
        <w:t xml:space="preserve">SILVA, L. A. B. et al. Sobrevida em hemodiálise crônica: estudo de coorte de1009 pacientes em 25 anos. </w:t>
      </w:r>
      <w:r w:rsidRPr="00DC3FF0">
        <w:rPr>
          <w:rFonts w:ascii="Times New Roman" w:hAnsi="Times New Roman"/>
          <w:b/>
          <w:bCs/>
          <w:color w:val="000000"/>
          <w:sz w:val="24"/>
          <w:szCs w:val="24"/>
          <w:lang w:eastAsia="pt-BR"/>
        </w:rPr>
        <w:t>Jornal Brasileiro de Nefrologia</w:t>
      </w:r>
      <w:r w:rsidRPr="00DC3FF0">
        <w:rPr>
          <w:rFonts w:ascii="Times New Roman" w:hAnsi="Times New Roman"/>
          <w:bCs/>
          <w:color w:val="000000"/>
          <w:sz w:val="24"/>
          <w:szCs w:val="24"/>
          <w:lang w:eastAsia="pt-BR"/>
        </w:rPr>
        <w:t xml:space="preserve">, </w:t>
      </w:r>
      <w:r w:rsidRPr="00DC3FF0">
        <w:rPr>
          <w:rFonts w:ascii="Times New Roman" w:hAnsi="Times New Roman"/>
          <w:color w:val="000000"/>
          <w:sz w:val="24"/>
          <w:szCs w:val="24"/>
          <w:lang w:eastAsia="pt-BR"/>
        </w:rPr>
        <w:t xml:space="preserve">São Paulo, v.31, n.3, 2009. </w:t>
      </w:r>
    </w:p>
    <w:p w:rsidR="00B206A4" w:rsidRPr="00DC3FF0" w:rsidRDefault="00B206A4" w:rsidP="00BC2F0A">
      <w:pPr>
        <w:pStyle w:val="PargrafodaLista"/>
        <w:spacing w:after="0" w:line="360" w:lineRule="auto"/>
        <w:rPr>
          <w:rFonts w:ascii="Times New Roman" w:hAnsi="Times New Roman"/>
          <w:color w:val="000000"/>
          <w:sz w:val="24"/>
          <w:szCs w:val="24"/>
          <w:lang w:eastAsia="pt-BR"/>
        </w:rPr>
      </w:pPr>
    </w:p>
    <w:p w:rsidR="00B206A4" w:rsidRPr="00DC3FF0" w:rsidRDefault="00B206A4" w:rsidP="00DC3FF0">
      <w:pPr>
        <w:spacing w:after="0" w:line="360" w:lineRule="auto"/>
        <w:rPr>
          <w:rFonts w:ascii="Times New Roman" w:hAnsi="Times New Roman"/>
          <w:color w:val="000000"/>
          <w:sz w:val="24"/>
          <w:szCs w:val="24"/>
          <w:lang w:eastAsia="pt-BR"/>
        </w:rPr>
      </w:pPr>
      <w:r w:rsidRPr="00DC3FF0">
        <w:rPr>
          <w:rFonts w:ascii="Times New Roman" w:hAnsi="Times New Roman"/>
          <w:color w:val="000000"/>
          <w:sz w:val="24"/>
          <w:szCs w:val="24"/>
          <w:lang w:eastAsia="pt-BR"/>
        </w:rPr>
        <w:t xml:space="preserve">SILVEIRA, C. B. et al. Qualidade de vida em pacientes em hemodiálise em um hospital público de Belém – Pará. </w:t>
      </w:r>
      <w:r w:rsidRPr="00DC3FF0">
        <w:rPr>
          <w:rFonts w:ascii="Times New Roman" w:hAnsi="Times New Roman"/>
          <w:b/>
          <w:bCs/>
          <w:color w:val="000000"/>
          <w:sz w:val="24"/>
          <w:szCs w:val="24"/>
          <w:lang w:eastAsia="pt-BR"/>
        </w:rPr>
        <w:t>Jornal Brasileiro de Nefrologia</w:t>
      </w:r>
      <w:r w:rsidRPr="00DC3FF0">
        <w:rPr>
          <w:rFonts w:ascii="Times New Roman" w:hAnsi="Times New Roman"/>
          <w:bCs/>
          <w:color w:val="000000"/>
          <w:sz w:val="24"/>
          <w:szCs w:val="24"/>
          <w:lang w:eastAsia="pt-BR"/>
        </w:rPr>
        <w:t xml:space="preserve">, </w:t>
      </w:r>
      <w:r w:rsidRPr="00DC3FF0">
        <w:rPr>
          <w:rFonts w:ascii="Times New Roman" w:hAnsi="Times New Roman"/>
          <w:color w:val="000000"/>
          <w:sz w:val="24"/>
          <w:szCs w:val="24"/>
          <w:lang w:eastAsia="pt-BR"/>
        </w:rPr>
        <w:t>São Paulo, v.32, n.1, p. 39-44, 2010.</w:t>
      </w:r>
    </w:p>
    <w:p w:rsidR="00B206A4" w:rsidRPr="00DC3FF0" w:rsidRDefault="00B206A4" w:rsidP="004D1530">
      <w:pPr>
        <w:pStyle w:val="PargrafodaLista"/>
        <w:spacing w:after="0" w:line="360" w:lineRule="auto"/>
        <w:rPr>
          <w:rFonts w:ascii="Times New Roman" w:hAnsi="Times New Roman"/>
          <w:color w:val="000000"/>
          <w:sz w:val="24"/>
          <w:szCs w:val="24"/>
          <w:lang w:eastAsia="pt-BR"/>
        </w:rPr>
      </w:pPr>
    </w:p>
    <w:p w:rsidR="00B206A4" w:rsidRPr="00DC3FF0" w:rsidRDefault="00B206A4" w:rsidP="00DC3FF0">
      <w:pPr>
        <w:spacing w:after="0" w:line="360" w:lineRule="auto"/>
        <w:rPr>
          <w:rFonts w:ascii="Times New Roman" w:hAnsi="Times New Roman"/>
          <w:color w:val="000000"/>
          <w:sz w:val="24"/>
          <w:szCs w:val="24"/>
          <w:lang w:eastAsia="pt-BR"/>
        </w:rPr>
      </w:pPr>
      <w:r w:rsidRPr="00DC3FF0">
        <w:rPr>
          <w:rFonts w:ascii="Times New Roman" w:hAnsi="Times New Roman"/>
          <w:color w:val="000000"/>
          <w:sz w:val="24"/>
          <w:szCs w:val="24"/>
          <w:lang w:eastAsia="pt-BR"/>
        </w:rPr>
        <w:t>VALENZUELA, R. G. V.</w:t>
      </w:r>
      <w:r>
        <w:rPr>
          <w:rFonts w:ascii="Times New Roman" w:hAnsi="Times New Roman"/>
          <w:color w:val="000000"/>
          <w:sz w:val="24"/>
          <w:szCs w:val="24"/>
          <w:lang w:eastAsia="pt-BR"/>
        </w:rPr>
        <w:t xml:space="preserve"> et al</w:t>
      </w:r>
      <w:r w:rsidRPr="00DC3FF0">
        <w:rPr>
          <w:rFonts w:ascii="Times New Roman" w:hAnsi="Times New Roman"/>
          <w:color w:val="000000"/>
          <w:sz w:val="24"/>
          <w:szCs w:val="24"/>
          <w:lang w:eastAsia="pt-BR"/>
        </w:rPr>
        <w:t xml:space="preserve">. Estado nutricional de pacientes com IRC em hemodiálise no Amazonas. </w:t>
      </w:r>
      <w:r w:rsidRPr="00DC3FF0">
        <w:rPr>
          <w:rFonts w:ascii="Times New Roman" w:hAnsi="Times New Roman"/>
          <w:b/>
          <w:bCs/>
          <w:color w:val="000000"/>
          <w:sz w:val="24"/>
          <w:szCs w:val="24"/>
          <w:lang w:eastAsia="pt-BR"/>
        </w:rPr>
        <w:t>Revista da Associação Médica Brasileira</w:t>
      </w:r>
      <w:r w:rsidRPr="00DC3FF0">
        <w:rPr>
          <w:rFonts w:ascii="Times New Roman" w:hAnsi="Times New Roman"/>
          <w:bCs/>
          <w:color w:val="000000"/>
          <w:sz w:val="24"/>
          <w:szCs w:val="24"/>
          <w:lang w:eastAsia="pt-BR"/>
        </w:rPr>
        <w:t>,</w:t>
      </w:r>
      <w:r w:rsidRPr="00DC3FF0">
        <w:rPr>
          <w:rFonts w:ascii="Times New Roman" w:hAnsi="Times New Roman"/>
          <w:b/>
          <w:bCs/>
          <w:color w:val="000000"/>
          <w:sz w:val="24"/>
          <w:szCs w:val="24"/>
          <w:lang w:eastAsia="pt-BR"/>
        </w:rPr>
        <w:t xml:space="preserve"> </w:t>
      </w:r>
      <w:r w:rsidRPr="00DC3FF0">
        <w:rPr>
          <w:rFonts w:ascii="Times New Roman" w:hAnsi="Times New Roman"/>
          <w:color w:val="000000"/>
          <w:sz w:val="24"/>
          <w:szCs w:val="24"/>
          <w:lang w:eastAsia="pt-BR"/>
        </w:rPr>
        <w:t xml:space="preserve">São Paulo, v.49, n.1, p. 72-78, 2003. </w:t>
      </w:r>
    </w:p>
    <w:p w:rsidR="00B206A4" w:rsidRPr="00DC3FF0" w:rsidRDefault="00B206A4" w:rsidP="00BC2F0A">
      <w:pPr>
        <w:spacing w:after="0" w:line="360" w:lineRule="auto"/>
        <w:rPr>
          <w:rFonts w:ascii="Times New Roman" w:hAnsi="Times New Roman"/>
          <w:color w:val="000000"/>
          <w:sz w:val="24"/>
          <w:szCs w:val="24"/>
          <w:lang w:eastAsia="pt-BR"/>
        </w:rPr>
      </w:pPr>
    </w:p>
    <w:p w:rsidR="00B206A4" w:rsidRPr="00DC3FF0" w:rsidRDefault="00B206A4" w:rsidP="00DC3FF0">
      <w:pPr>
        <w:pStyle w:val="Ttulo2"/>
        <w:spacing w:before="0" w:line="360" w:lineRule="auto"/>
        <w:rPr>
          <w:rFonts w:ascii="Times New Roman" w:hAnsi="Times New Roman"/>
          <w:b w:val="0"/>
          <w:color w:val="000000"/>
          <w:sz w:val="24"/>
          <w:szCs w:val="24"/>
        </w:rPr>
      </w:pPr>
      <w:r w:rsidRPr="00DC3FF0">
        <w:rPr>
          <w:rFonts w:ascii="Times New Roman" w:hAnsi="Times New Roman"/>
          <w:b w:val="0"/>
          <w:color w:val="000000"/>
          <w:sz w:val="24"/>
          <w:szCs w:val="24"/>
          <w:lang w:val="en-US"/>
        </w:rPr>
        <w:t>YOUNG, E. W.</w:t>
      </w:r>
      <w:r>
        <w:rPr>
          <w:rFonts w:ascii="Times New Roman" w:hAnsi="Times New Roman"/>
          <w:b w:val="0"/>
          <w:color w:val="000000"/>
          <w:sz w:val="24"/>
          <w:szCs w:val="24"/>
          <w:lang w:val="en-US"/>
        </w:rPr>
        <w:t xml:space="preserve"> </w:t>
      </w:r>
      <w:r w:rsidRPr="00DC3FF0">
        <w:rPr>
          <w:rFonts w:ascii="Times New Roman" w:hAnsi="Times New Roman"/>
          <w:b w:val="0"/>
          <w:color w:val="000000"/>
          <w:sz w:val="24"/>
          <w:szCs w:val="24"/>
          <w:lang w:val="en-US"/>
        </w:rPr>
        <w:t xml:space="preserve">et al. The Dialysis Outcomes and Practice Patterns Study (DOPPS): An international hemodialysis study. </w:t>
      </w:r>
      <w:proofErr w:type="spellStart"/>
      <w:r w:rsidRPr="00986AED">
        <w:rPr>
          <w:rFonts w:ascii="Times New Roman" w:hAnsi="Times New Roman"/>
          <w:iCs/>
          <w:color w:val="000000"/>
          <w:sz w:val="24"/>
          <w:szCs w:val="24"/>
        </w:rPr>
        <w:t>Kidney</w:t>
      </w:r>
      <w:proofErr w:type="spellEnd"/>
      <w:r w:rsidRPr="00986AED">
        <w:rPr>
          <w:rFonts w:ascii="Times New Roman" w:hAnsi="Times New Roman"/>
          <w:iCs/>
          <w:color w:val="000000"/>
          <w:sz w:val="24"/>
          <w:szCs w:val="24"/>
        </w:rPr>
        <w:t xml:space="preserve"> </w:t>
      </w:r>
      <w:proofErr w:type="spellStart"/>
      <w:r w:rsidRPr="00986AED">
        <w:rPr>
          <w:rFonts w:ascii="Times New Roman" w:hAnsi="Times New Roman"/>
          <w:iCs/>
          <w:color w:val="000000"/>
          <w:sz w:val="24"/>
          <w:szCs w:val="24"/>
        </w:rPr>
        <w:t>International</w:t>
      </w:r>
      <w:proofErr w:type="spellEnd"/>
      <w:r w:rsidRPr="00986AED">
        <w:rPr>
          <w:rFonts w:ascii="Times New Roman" w:hAnsi="Times New Roman"/>
          <w:b w:val="0"/>
          <w:iCs/>
          <w:color w:val="000000"/>
          <w:sz w:val="24"/>
          <w:szCs w:val="24"/>
        </w:rPr>
        <w:t xml:space="preserve">, New York, </w:t>
      </w:r>
      <w:r w:rsidRPr="00DC3FF0">
        <w:rPr>
          <w:rFonts w:ascii="Times New Roman" w:hAnsi="Times New Roman"/>
          <w:b w:val="0"/>
          <w:iCs/>
          <w:color w:val="000000"/>
          <w:sz w:val="24"/>
          <w:szCs w:val="24"/>
        </w:rPr>
        <w:t>v.</w:t>
      </w:r>
      <w:r w:rsidRPr="00DC3FF0">
        <w:rPr>
          <w:rFonts w:ascii="Times New Roman" w:hAnsi="Times New Roman"/>
          <w:b w:val="0"/>
          <w:bCs w:val="0"/>
          <w:color w:val="000000"/>
          <w:sz w:val="24"/>
          <w:szCs w:val="24"/>
        </w:rPr>
        <w:t>57</w:t>
      </w:r>
      <w:r w:rsidRPr="00DC3FF0">
        <w:rPr>
          <w:rFonts w:ascii="Times New Roman" w:hAnsi="Times New Roman"/>
          <w:b w:val="0"/>
          <w:color w:val="000000"/>
          <w:sz w:val="24"/>
          <w:szCs w:val="24"/>
        </w:rPr>
        <w:t>, p.74-81, 2010.</w:t>
      </w:r>
    </w:p>
    <w:p w:rsidR="00B206A4" w:rsidRPr="00DC3FF0" w:rsidRDefault="00B206A4" w:rsidP="00091960">
      <w:pPr>
        <w:rPr>
          <w:rFonts w:ascii="Times New Roman" w:hAnsi="Times New Roman"/>
          <w:sz w:val="24"/>
          <w:szCs w:val="24"/>
        </w:rPr>
      </w:pPr>
    </w:p>
    <w:p w:rsidR="00B206A4" w:rsidRPr="00374D73" w:rsidRDefault="00B206A4" w:rsidP="00374D73">
      <w:pPr>
        <w:spacing w:after="0" w:line="360" w:lineRule="auto"/>
        <w:rPr>
          <w:rFonts w:ascii="Times New Roman" w:hAnsi="Times New Roman"/>
          <w:sz w:val="24"/>
          <w:szCs w:val="24"/>
        </w:rPr>
      </w:pPr>
      <w:r w:rsidRPr="00374D73">
        <w:rPr>
          <w:rFonts w:ascii="Times New Roman" w:hAnsi="Times New Roman"/>
          <w:sz w:val="24"/>
          <w:szCs w:val="24"/>
        </w:rPr>
        <w:t xml:space="preserve">ZATZ, R. Insuficiência renal crônica (IRC). In: RIELLA, Miguel C. </w:t>
      </w:r>
      <w:r w:rsidRPr="00374D73">
        <w:rPr>
          <w:rFonts w:ascii="Times New Roman" w:hAnsi="Times New Roman"/>
          <w:b/>
          <w:sz w:val="24"/>
          <w:szCs w:val="24"/>
        </w:rPr>
        <w:t>Princípios de nefrologia hidroeletrolíticos</w:t>
      </w:r>
      <w:r w:rsidRPr="00374D73">
        <w:rPr>
          <w:rFonts w:ascii="Times New Roman" w:hAnsi="Times New Roman"/>
          <w:sz w:val="24"/>
          <w:szCs w:val="24"/>
        </w:rPr>
        <w:t>. 4. Ed. Rio de Janeiro: Guanabara Koogan. cap. 36, p. 649-660, 2003.</w:t>
      </w:r>
    </w:p>
    <w:p w:rsidR="00B206A4" w:rsidRPr="00DC3FF0" w:rsidRDefault="00B206A4" w:rsidP="004C15E4">
      <w:pPr>
        <w:spacing w:line="360" w:lineRule="auto"/>
        <w:jc w:val="center"/>
        <w:rPr>
          <w:rFonts w:ascii="Times New Roman" w:hAnsi="Times New Roman"/>
          <w:sz w:val="24"/>
          <w:szCs w:val="24"/>
          <w:lang w:val="en-US"/>
        </w:rPr>
      </w:pPr>
    </w:p>
    <w:p w:rsidR="00B206A4" w:rsidRPr="00DC3FF0" w:rsidRDefault="00B206A4" w:rsidP="00DD4FBC">
      <w:pPr>
        <w:spacing w:after="0" w:line="480" w:lineRule="auto"/>
        <w:ind w:firstLine="708"/>
        <w:jc w:val="both"/>
        <w:rPr>
          <w:rFonts w:ascii="Times New Roman" w:hAnsi="Times New Roman"/>
          <w:sz w:val="24"/>
          <w:szCs w:val="24"/>
        </w:rPr>
      </w:pPr>
    </w:p>
    <w:sectPr w:rsidR="00B206A4" w:rsidRPr="00DC3FF0" w:rsidSect="00E66699">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83C" w:rsidRDefault="002F583C" w:rsidP="00F85903">
      <w:pPr>
        <w:spacing w:after="0" w:line="240" w:lineRule="auto"/>
      </w:pPr>
      <w:r>
        <w:separator/>
      </w:r>
    </w:p>
  </w:endnote>
  <w:endnote w:type="continuationSeparator" w:id="0">
    <w:p w:rsidR="002F583C" w:rsidRDefault="002F583C" w:rsidP="00F85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83C" w:rsidRDefault="002F583C" w:rsidP="00F85903">
      <w:pPr>
        <w:spacing w:after="0" w:line="240" w:lineRule="auto"/>
      </w:pPr>
      <w:r>
        <w:separator/>
      </w:r>
    </w:p>
  </w:footnote>
  <w:footnote w:type="continuationSeparator" w:id="0">
    <w:p w:rsidR="002F583C" w:rsidRDefault="002F583C" w:rsidP="00F859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93E2EDA"/>
    <w:lvl w:ilvl="0">
      <w:start w:val="1"/>
      <w:numFmt w:val="bullet"/>
      <w:lvlText w:val=""/>
      <w:lvlJc w:val="left"/>
      <w:pPr>
        <w:tabs>
          <w:tab w:val="num" w:pos="360"/>
        </w:tabs>
        <w:ind w:left="360" w:hanging="360"/>
      </w:pPr>
      <w:rPr>
        <w:rFonts w:ascii="Symbol" w:hAnsi="Symbol" w:hint="default"/>
      </w:rPr>
    </w:lvl>
  </w:abstractNum>
  <w:abstractNum w:abstractNumId="1">
    <w:nsid w:val="011956EF"/>
    <w:multiLevelType w:val="hybridMultilevel"/>
    <w:tmpl w:val="28B8973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F902914"/>
    <w:multiLevelType w:val="hybridMultilevel"/>
    <w:tmpl w:val="5D3AD6C0"/>
    <w:lvl w:ilvl="0" w:tplc="2EE09B6E">
      <w:start w:val="1"/>
      <w:numFmt w:val="decimal"/>
      <w:lvlText w:val="%1"/>
      <w:lvlJc w:val="left"/>
      <w:pPr>
        <w:ind w:left="720" w:hanging="360"/>
      </w:pPr>
      <w:rPr>
        <w:rFonts w:cs="Times New Roman" w:hint="default"/>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11755788"/>
    <w:multiLevelType w:val="hybridMultilevel"/>
    <w:tmpl w:val="BA7EE738"/>
    <w:lvl w:ilvl="0" w:tplc="FF923258">
      <w:start w:val="1"/>
      <w:numFmt w:val="decimal"/>
      <w:lvlText w:val="%1"/>
      <w:lvlJc w:val="left"/>
      <w:pPr>
        <w:tabs>
          <w:tab w:val="num" w:pos="780"/>
        </w:tabs>
        <w:ind w:left="780" w:hanging="42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
    <w:nsid w:val="2AFC5279"/>
    <w:multiLevelType w:val="hybridMultilevel"/>
    <w:tmpl w:val="4162BC54"/>
    <w:lvl w:ilvl="0" w:tplc="46800F6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2CF43753"/>
    <w:multiLevelType w:val="hybridMultilevel"/>
    <w:tmpl w:val="22AC65FC"/>
    <w:lvl w:ilvl="0" w:tplc="E7BEFCA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373A70D7"/>
    <w:multiLevelType w:val="hybridMultilevel"/>
    <w:tmpl w:val="7C7E8978"/>
    <w:lvl w:ilvl="0" w:tplc="2B5E40C4">
      <w:start w:val="1"/>
      <w:numFmt w:val="decimal"/>
      <w:lvlText w:val="%1 "/>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3EA44BDF"/>
    <w:multiLevelType w:val="hybridMultilevel"/>
    <w:tmpl w:val="4162BC54"/>
    <w:lvl w:ilvl="0" w:tplc="46800F6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4862297F"/>
    <w:multiLevelType w:val="hybridMultilevel"/>
    <w:tmpl w:val="67DA6EBE"/>
    <w:lvl w:ilvl="0" w:tplc="934075FA">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nsid w:val="56665FD9"/>
    <w:multiLevelType w:val="hybridMultilevel"/>
    <w:tmpl w:val="0B5E5B5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630B751A"/>
    <w:multiLevelType w:val="hybridMultilevel"/>
    <w:tmpl w:val="4162BC54"/>
    <w:lvl w:ilvl="0" w:tplc="46800F6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3"/>
  </w:num>
  <w:num w:numId="8">
    <w:abstractNumId w:val="2"/>
  </w:num>
  <w:num w:numId="9">
    <w:abstractNumId w:val="7"/>
  </w:num>
  <w:num w:numId="10">
    <w:abstractNumId w:val="10"/>
  </w:num>
  <w:num w:numId="11">
    <w:abstractNumId w:val="1"/>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7186D"/>
    <w:rsid w:val="000004B0"/>
    <w:rsid w:val="00004BFA"/>
    <w:rsid w:val="00006FAC"/>
    <w:rsid w:val="00033C8E"/>
    <w:rsid w:val="00076677"/>
    <w:rsid w:val="0008120E"/>
    <w:rsid w:val="00082596"/>
    <w:rsid w:val="00086BC9"/>
    <w:rsid w:val="00091960"/>
    <w:rsid w:val="0009376E"/>
    <w:rsid w:val="000A0C64"/>
    <w:rsid w:val="000A521F"/>
    <w:rsid w:val="000D6B4C"/>
    <w:rsid w:val="0011261F"/>
    <w:rsid w:val="0012295D"/>
    <w:rsid w:val="00147DA0"/>
    <w:rsid w:val="00150008"/>
    <w:rsid w:val="00167378"/>
    <w:rsid w:val="001809FE"/>
    <w:rsid w:val="001A79AA"/>
    <w:rsid w:val="001D1AB7"/>
    <w:rsid w:val="00202635"/>
    <w:rsid w:val="00203D89"/>
    <w:rsid w:val="002252FB"/>
    <w:rsid w:val="0023084B"/>
    <w:rsid w:val="00256E12"/>
    <w:rsid w:val="002649B0"/>
    <w:rsid w:val="00266FD1"/>
    <w:rsid w:val="00273747"/>
    <w:rsid w:val="0028683C"/>
    <w:rsid w:val="002C3A56"/>
    <w:rsid w:val="002E3A2B"/>
    <w:rsid w:val="002E60AB"/>
    <w:rsid w:val="002F583C"/>
    <w:rsid w:val="002F6DBF"/>
    <w:rsid w:val="00335DD5"/>
    <w:rsid w:val="003644BC"/>
    <w:rsid w:val="003708D5"/>
    <w:rsid w:val="00370A25"/>
    <w:rsid w:val="003726F8"/>
    <w:rsid w:val="00374D73"/>
    <w:rsid w:val="003970CE"/>
    <w:rsid w:val="00397175"/>
    <w:rsid w:val="003B37F5"/>
    <w:rsid w:val="003B42B4"/>
    <w:rsid w:val="003C22E9"/>
    <w:rsid w:val="003D2FE4"/>
    <w:rsid w:val="00417FCA"/>
    <w:rsid w:val="00427553"/>
    <w:rsid w:val="00434CAA"/>
    <w:rsid w:val="00435571"/>
    <w:rsid w:val="00445A19"/>
    <w:rsid w:val="00470E68"/>
    <w:rsid w:val="00490A9D"/>
    <w:rsid w:val="004A08B1"/>
    <w:rsid w:val="004A4C4E"/>
    <w:rsid w:val="004C15E4"/>
    <w:rsid w:val="004D1530"/>
    <w:rsid w:val="00516B42"/>
    <w:rsid w:val="005254F9"/>
    <w:rsid w:val="0053170D"/>
    <w:rsid w:val="00544403"/>
    <w:rsid w:val="005526FB"/>
    <w:rsid w:val="00552F06"/>
    <w:rsid w:val="00553723"/>
    <w:rsid w:val="005629AD"/>
    <w:rsid w:val="00562E2A"/>
    <w:rsid w:val="00574A8E"/>
    <w:rsid w:val="00582C79"/>
    <w:rsid w:val="00593FDE"/>
    <w:rsid w:val="005B7696"/>
    <w:rsid w:val="006122EE"/>
    <w:rsid w:val="00632DE3"/>
    <w:rsid w:val="00635D91"/>
    <w:rsid w:val="006412FB"/>
    <w:rsid w:val="0064558B"/>
    <w:rsid w:val="00646EB0"/>
    <w:rsid w:val="00656537"/>
    <w:rsid w:val="00686737"/>
    <w:rsid w:val="00692A78"/>
    <w:rsid w:val="006932F1"/>
    <w:rsid w:val="00697B30"/>
    <w:rsid w:val="006A796D"/>
    <w:rsid w:val="006D04C6"/>
    <w:rsid w:val="006F0CF5"/>
    <w:rsid w:val="00700525"/>
    <w:rsid w:val="00700F09"/>
    <w:rsid w:val="00705434"/>
    <w:rsid w:val="00723585"/>
    <w:rsid w:val="00751EC4"/>
    <w:rsid w:val="007643C2"/>
    <w:rsid w:val="00771372"/>
    <w:rsid w:val="00784745"/>
    <w:rsid w:val="00791F70"/>
    <w:rsid w:val="00793EFB"/>
    <w:rsid w:val="007C2529"/>
    <w:rsid w:val="007D4239"/>
    <w:rsid w:val="007F5EEE"/>
    <w:rsid w:val="00804CDB"/>
    <w:rsid w:val="00825360"/>
    <w:rsid w:val="00831203"/>
    <w:rsid w:val="008433CC"/>
    <w:rsid w:val="00845582"/>
    <w:rsid w:val="008554C8"/>
    <w:rsid w:val="00862274"/>
    <w:rsid w:val="00880ECC"/>
    <w:rsid w:val="008A66E7"/>
    <w:rsid w:val="008D7375"/>
    <w:rsid w:val="008F1CF5"/>
    <w:rsid w:val="00912199"/>
    <w:rsid w:val="00940DF8"/>
    <w:rsid w:val="00941F26"/>
    <w:rsid w:val="0094463E"/>
    <w:rsid w:val="00970E9D"/>
    <w:rsid w:val="009772ED"/>
    <w:rsid w:val="00986AED"/>
    <w:rsid w:val="0099198B"/>
    <w:rsid w:val="009A28DA"/>
    <w:rsid w:val="009A6487"/>
    <w:rsid w:val="009C131F"/>
    <w:rsid w:val="009D4512"/>
    <w:rsid w:val="00A07722"/>
    <w:rsid w:val="00A12392"/>
    <w:rsid w:val="00A52854"/>
    <w:rsid w:val="00A52C29"/>
    <w:rsid w:val="00A751E0"/>
    <w:rsid w:val="00AA3121"/>
    <w:rsid w:val="00AA6F75"/>
    <w:rsid w:val="00AC634D"/>
    <w:rsid w:val="00AF385F"/>
    <w:rsid w:val="00AF5849"/>
    <w:rsid w:val="00B03D8D"/>
    <w:rsid w:val="00B07369"/>
    <w:rsid w:val="00B206A4"/>
    <w:rsid w:val="00B505DC"/>
    <w:rsid w:val="00B54BD0"/>
    <w:rsid w:val="00B56762"/>
    <w:rsid w:val="00B85968"/>
    <w:rsid w:val="00B873CE"/>
    <w:rsid w:val="00B92B3D"/>
    <w:rsid w:val="00B92BE7"/>
    <w:rsid w:val="00BC273B"/>
    <w:rsid w:val="00BC2F0A"/>
    <w:rsid w:val="00BD41C0"/>
    <w:rsid w:val="00BE135C"/>
    <w:rsid w:val="00BF5663"/>
    <w:rsid w:val="00C13FB4"/>
    <w:rsid w:val="00C16213"/>
    <w:rsid w:val="00C7391D"/>
    <w:rsid w:val="00C923C1"/>
    <w:rsid w:val="00D0023A"/>
    <w:rsid w:val="00D13A27"/>
    <w:rsid w:val="00D1647B"/>
    <w:rsid w:val="00D23B8C"/>
    <w:rsid w:val="00D70E34"/>
    <w:rsid w:val="00D766F3"/>
    <w:rsid w:val="00D94E79"/>
    <w:rsid w:val="00D95FEB"/>
    <w:rsid w:val="00DA07D9"/>
    <w:rsid w:val="00DA4DA0"/>
    <w:rsid w:val="00DB0F17"/>
    <w:rsid w:val="00DC3FF0"/>
    <w:rsid w:val="00DD4FBC"/>
    <w:rsid w:val="00DE4D2D"/>
    <w:rsid w:val="00E14872"/>
    <w:rsid w:val="00E66699"/>
    <w:rsid w:val="00E74E50"/>
    <w:rsid w:val="00E90FE9"/>
    <w:rsid w:val="00ED2FC9"/>
    <w:rsid w:val="00EE5875"/>
    <w:rsid w:val="00EE6333"/>
    <w:rsid w:val="00EF0354"/>
    <w:rsid w:val="00EF3A62"/>
    <w:rsid w:val="00F00B75"/>
    <w:rsid w:val="00F369A0"/>
    <w:rsid w:val="00F41EDC"/>
    <w:rsid w:val="00F64257"/>
    <w:rsid w:val="00F6708C"/>
    <w:rsid w:val="00F7186D"/>
    <w:rsid w:val="00F729D6"/>
    <w:rsid w:val="00F806EE"/>
    <w:rsid w:val="00F82161"/>
    <w:rsid w:val="00F85903"/>
    <w:rsid w:val="00F911BE"/>
    <w:rsid w:val="00FA556A"/>
    <w:rsid w:val="00FB569C"/>
    <w:rsid w:val="00FD4840"/>
    <w:rsid w:val="00FE0D59"/>
    <w:rsid w:val="00FE2036"/>
    <w:rsid w:val="00FE3D83"/>
    <w:rsid w:val="00FE64A3"/>
    <w:rsid w:val="00FF2BB3"/>
    <w:rsid w:val="00FF74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86D"/>
    <w:pPr>
      <w:spacing w:after="200" w:line="276" w:lineRule="auto"/>
    </w:pPr>
    <w:rPr>
      <w:lang w:eastAsia="en-US"/>
    </w:rPr>
  </w:style>
  <w:style w:type="paragraph" w:styleId="Ttulo1">
    <w:name w:val="heading 1"/>
    <w:basedOn w:val="Normal"/>
    <w:next w:val="Normal"/>
    <w:link w:val="Ttulo1Char"/>
    <w:uiPriority w:val="99"/>
    <w:qFormat/>
    <w:rsid w:val="00BC2F0A"/>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9"/>
    <w:qFormat/>
    <w:rsid w:val="00BC2F0A"/>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9"/>
    <w:qFormat/>
    <w:rsid w:val="00BC2F0A"/>
    <w:pPr>
      <w:keepNext/>
      <w:keepLines/>
      <w:spacing w:before="200" w:after="0"/>
      <w:outlineLvl w:val="2"/>
    </w:pPr>
    <w:rPr>
      <w:rFonts w:ascii="Cambria" w:eastAsia="Times New Roman"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C2F0A"/>
    <w:rPr>
      <w:rFonts w:ascii="Cambria" w:hAnsi="Cambria" w:cs="Times New Roman"/>
      <w:b/>
      <w:bCs/>
      <w:color w:val="365F91"/>
      <w:sz w:val="28"/>
      <w:szCs w:val="28"/>
    </w:rPr>
  </w:style>
  <w:style w:type="character" w:customStyle="1" w:styleId="Ttulo2Char">
    <w:name w:val="Título 2 Char"/>
    <w:basedOn w:val="Fontepargpadro"/>
    <w:link w:val="Ttulo2"/>
    <w:uiPriority w:val="99"/>
    <w:locked/>
    <w:rsid w:val="00BC2F0A"/>
    <w:rPr>
      <w:rFonts w:ascii="Cambria" w:hAnsi="Cambria" w:cs="Times New Roman"/>
      <w:b/>
      <w:bCs/>
      <w:color w:val="4F81BD"/>
      <w:sz w:val="26"/>
      <w:szCs w:val="26"/>
    </w:rPr>
  </w:style>
  <w:style w:type="character" w:customStyle="1" w:styleId="Ttulo3Char">
    <w:name w:val="Título 3 Char"/>
    <w:basedOn w:val="Fontepargpadro"/>
    <w:link w:val="Ttulo3"/>
    <w:uiPriority w:val="99"/>
    <w:locked/>
    <w:rsid w:val="00BC2F0A"/>
    <w:rPr>
      <w:rFonts w:ascii="Cambria" w:hAnsi="Cambria" w:cs="Times New Roman"/>
      <w:b/>
      <w:bCs/>
      <w:color w:val="4F81BD"/>
    </w:rPr>
  </w:style>
  <w:style w:type="paragraph" w:styleId="Commarcadores">
    <w:name w:val="List Bullet"/>
    <w:basedOn w:val="Normal"/>
    <w:uiPriority w:val="99"/>
    <w:rsid w:val="006A796D"/>
    <w:pPr>
      <w:tabs>
        <w:tab w:val="num" w:pos="360"/>
      </w:tabs>
      <w:ind w:left="360" w:hanging="360"/>
      <w:contextualSpacing/>
    </w:pPr>
  </w:style>
  <w:style w:type="paragraph" w:customStyle="1" w:styleId="Body1">
    <w:name w:val="Body 1"/>
    <w:uiPriority w:val="99"/>
    <w:rsid w:val="00FE2036"/>
    <w:rPr>
      <w:rFonts w:ascii="Helvetica" w:eastAsia="Arial Unicode MS" w:hAnsi="Helvetica"/>
      <w:color w:val="000000"/>
      <w:sz w:val="24"/>
      <w:szCs w:val="20"/>
    </w:rPr>
  </w:style>
  <w:style w:type="paragraph" w:styleId="Textodebalo">
    <w:name w:val="Balloon Text"/>
    <w:basedOn w:val="Normal"/>
    <w:link w:val="TextodebaloChar"/>
    <w:uiPriority w:val="99"/>
    <w:semiHidden/>
    <w:rsid w:val="00FE203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FE2036"/>
    <w:rPr>
      <w:rFonts w:ascii="Tahoma" w:eastAsia="Times New Roman" w:hAnsi="Tahoma" w:cs="Tahoma"/>
      <w:sz w:val="16"/>
      <w:szCs w:val="16"/>
    </w:rPr>
  </w:style>
  <w:style w:type="paragraph" w:styleId="PargrafodaLista">
    <w:name w:val="List Paragraph"/>
    <w:basedOn w:val="Normal"/>
    <w:uiPriority w:val="99"/>
    <w:qFormat/>
    <w:rsid w:val="00FE2036"/>
    <w:pPr>
      <w:ind w:left="720"/>
      <w:contextualSpacing/>
    </w:pPr>
  </w:style>
  <w:style w:type="character" w:customStyle="1" w:styleId="hps">
    <w:name w:val="hps"/>
    <w:basedOn w:val="Fontepargpadro"/>
    <w:uiPriority w:val="99"/>
    <w:rsid w:val="008A66E7"/>
    <w:rPr>
      <w:rFonts w:cs="Times New Roman"/>
    </w:rPr>
  </w:style>
  <w:style w:type="character" w:customStyle="1" w:styleId="apple-converted-space">
    <w:name w:val="apple-converted-space"/>
    <w:basedOn w:val="Fontepargpadro"/>
    <w:uiPriority w:val="99"/>
    <w:rsid w:val="00BC2F0A"/>
    <w:rPr>
      <w:rFonts w:cs="Times New Roman"/>
    </w:rPr>
  </w:style>
  <w:style w:type="character" w:styleId="Hyperlink">
    <w:name w:val="Hyperlink"/>
    <w:basedOn w:val="Fontepargpadro"/>
    <w:uiPriority w:val="99"/>
    <w:rsid w:val="00BC2F0A"/>
    <w:rPr>
      <w:rFonts w:cs="Times New Roman"/>
      <w:color w:val="0000FF"/>
      <w:u w:val="single"/>
    </w:rPr>
  </w:style>
  <w:style w:type="paragraph" w:styleId="Cabealho">
    <w:name w:val="header"/>
    <w:basedOn w:val="Normal"/>
    <w:link w:val="CabealhoChar"/>
    <w:uiPriority w:val="99"/>
    <w:semiHidden/>
    <w:rsid w:val="00F8590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F85903"/>
    <w:rPr>
      <w:rFonts w:cs="Times New Roman"/>
    </w:rPr>
  </w:style>
  <w:style w:type="paragraph" w:styleId="Rodap">
    <w:name w:val="footer"/>
    <w:basedOn w:val="Normal"/>
    <w:link w:val="RodapChar"/>
    <w:uiPriority w:val="99"/>
    <w:semiHidden/>
    <w:rsid w:val="00F85903"/>
    <w:pPr>
      <w:tabs>
        <w:tab w:val="center" w:pos="4252"/>
        <w:tab w:val="right" w:pos="8504"/>
      </w:tabs>
      <w:spacing w:after="0" w:line="240" w:lineRule="auto"/>
    </w:pPr>
  </w:style>
  <w:style w:type="character" w:customStyle="1" w:styleId="RodapChar">
    <w:name w:val="Rodapé Char"/>
    <w:basedOn w:val="Fontepargpadro"/>
    <w:link w:val="Rodap"/>
    <w:uiPriority w:val="99"/>
    <w:semiHidden/>
    <w:locked/>
    <w:rsid w:val="00F85903"/>
    <w:rPr>
      <w:rFonts w:cs="Times New Roman"/>
    </w:rPr>
  </w:style>
  <w:style w:type="paragraph" w:styleId="NormalWeb">
    <w:name w:val="Normal (Web)"/>
    <w:basedOn w:val="Normal"/>
    <w:uiPriority w:val="99"/>
    <w:semiHidden/>
    <w:rsid w:val="004D1530"/>
    <w:pPr>
      <w:spacing w:before="100" w:beforeAutospacing="1" w:after="100" w:afterAutospacing="1" w:line="240" w:lineRule="auto"/>
    </w:pPr>
    <w:rPr>
      <w:rFonts w:ascii="Times New Roman" w:eastAsia="Times New Roman" w:hAnsi="Times New Roman"/>
      <w:sz w:val="23"/>
      <w:szCs w:val="23"/>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059578">
      <w:marLeft w:val="0"/>
      <w:marRight w:val="0"/>
      <w:marTop w:val="0"/>
      <w:marBottom w:val="0"/>
      <w:divBdr>
        <w:top w:val="none" w:sz="0" w:space="0" w:color="auto"/>
        <w:left w:val="none" w:sz="0" w:space="0" w:color="auto"/>
        <w:bottom w:val="none" w:sz="0" w:space="0" w:color="auto"/>
        <w:right w:val="none" w:sz="0" w:space="0" w:color="auto"/>
      </w:divBdr>
    </w:div>
    <w:div w:id="2085059580">
      <w:marLeft w:val="0"/>
      <w:marRight w:val="0"/>
      <w:marTop w:val="0"/>
      <w:marBottom w:val="0"/>
      <w:divBdr>
        <w:top w:val="none" w:sz="0" w:space="0" w:color="auto"/>
        <w:left w:val="none" w:sz="0" w:space="0" w:color="auto"/>
        <w:bottom w:val="none" w:sz="0" w:space="0" w:color="auto"/>
        <w:right w:val="none" w:sz="0" w:space="0" w:color="auto"/>
      </w:divBdr>
      <w:divsChild>
        <w:div w:id="2085059579">
          <w:marLeft w:val="0"/>
          <w:marRight w:val="0"/>
          <w:marTop w:val="0"/>
          <w:marBottom w:val="0"/>
          <w:divBdr>
            <w:top w:val="none" w:sz="0" w:space="0" w:color="auto"/>
            <w:left w:val="none" w:sz="0" w:space="0" w:color="auto"/>
            <w:bottom w:val="none" w:sz="0" w:space="0" w:color="auto"/>
            <w:right w:val="none" w:sz="0" w:space="0" w:color="auto"/>
          </w:divBdr>
          <w:divsChild>
            <w:div w:id="2085059576">
              <w:marLeft w:val="0"/>
              <w:marRight w:val="0"/>
              <w:marTop w:val="0"/>
              <w:marBottom w:val="0"/>
              <w:divBdr>
                <w:top w:val="none" w:sz="0" w:space="0" w:color="auto"/>
                <w:left w:val="none" w:sz="0" w:space="0" w:color="auto"/>
                <w:bottom w:val="single" w:sz="6" w:space="0" w:color="8D8D8D"/>
                <w:right w:val="none" w:sz="0" w:space="0" w:color="auto"/>
              </w:divBdr>
              <w:divsChild>
                <w:div w:id="208505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0595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cbi.nlm.nih.gov/pubmed/20513773" TargetMode="External"/><Relationship Id="rId4" Type="http://schemas.openxmlformats.org/officeDocument/2006/relationships/settings" Target="settings.xml"/><Relationship Id="rId9" Type="http://schemas.openxmlformats.org/officeDocument/2006/relationships/hyperlink" Target="http://www.ncbi.nlm.nih.gov/pubmed/?term=Ajiro%20J%5BAuthor%5D&amp;cauthor=true&amp;cauthor_uid=17699478"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TCC\CAtuarial2b.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4682852143484241E-2"/>
          <c:y val="6.5289442986293383E-2"/>
          <c:w val="0.5986782589676285"/>
          <c:h val="0.79822506561679785"/>
        </c:manualLayout>
      </c:layout>
      <c:lineChart>
        <c:grouping val="standard"/>
        <c:varyColors val="0"/>
        <c:ser>
          <c:idx val="0"/>
          <c:order val="0"/>
          <c:tx>
            <c:strRef>
              <c:f>Plan1!$I$64</c:f>
              <c:strCache>
                <c:ptCount val="1"/>
                <c:pt idx="0">
                  <c:v>Probabilidade Acumulada de Sobrevida (%)</c:v>
                </c:pt>
              </c:strCache>
            </c:strRef>
          </c:tx>
          <c:marker>
            <c:symbol val="none"/>
          </c:marker>
          <c:cat>
            <c:strRef>
              <c:f>Plan1!$H$65:$H$78</c:f>
              <c:strCache>
                <c:ptCount val="14"/>
                <c:pt idx="0">
                  <c:v>0</c:v>
                </c:pt>
                <c:pt idx="1">
                  <c:v>1</c:v>
                </c:pt>
                <c:pt idx="2">
                  <c:v>2</c:v>
                </c:pt>
                <c:pt idx="3">
                  <c:v>3</c:v>
                </c:pt>
                <c:pt idx="4">
                  <c:v>4</c:v>
                </c:pt>
                <c:pt idx="5">
                  <c:v>5</c:v>
                </c:pt>
                <c:pt idx="6">
                  <c:v>6</c:v>
                </c:pt>
                <c:pt idx="7">
                  <c:v>7</c:v>
                </c:pt>
                <c:pt idx="8">
                  <c:v>8</c:v>
                </c:pt>
                <c:pt idx="9">
                  <c:v>9</c:v>
                </c:pt>
                <c:pt idx="10">
                  <c:v>10</c:v>
                </c:pt>
                <c:pt idx="11">
                  <c:v>11</c:v>
                </c:pt>
                <c:pt idx="12">
                  <c:v>12</c:v>
                </c:pt>
                <c:pt idx="13">
                  <c:v>13</c:v>
                </c:pt>
              </c:strCache>
            </c:strRef>
          </c:cat>
          <c:val>
            <c:numRef>
              <c:f>Plan1!$I$65:$I$78</c:f>
              <c:numCache>
                <c:formatCode>General</c:formatCode>
                <c:ptCount val="14"/>
                <c:pt idx="0">
                  <c:v>100</c:v>
                </c:pt>
                <c:pt idx="1">
                  <c:v>94</c:v>
                </c:pt>
                <c:pt idx="2">
                  <c:v>85</c:v>
                </c:pt>
                <c:pt idx="3">
                  <c:v>82</c:v>
                </c:pt>
                <c:pt idx="4">
                  <c:v>77</c:v>
                </c:pt>
                <c:pt idx="5">
                  <c:v>72</c:v>
                </c:pt>
                <c:pt idx="6">
                  <c:v>68</c:v>
                </c:pt>
                <c:pt idx="7">
                  <c:v>67</c:v>
                </c:pt>
                <c:pt idx="8">
                  <c:v>61</c:v>
                </c:pt>
                <c:pt idx="9">
                  <c:v>60</c:v>
                </c:pt>
                <c:pt idx="10">
                  <c:v>54</c:v>
                </c:pt>
                <c:pt idx="11">
                  <c:v>49</c:v>
                </c:pt>
                <c:pt idx="12">
                  <c:v>49</c:v>
                </c:pt>
                <c:pt idx="13">
                  <c:v>49</c:v>
                </c:pt>
              </c:numCache>
            </c:numRef>
          </c:val>
          <c:smooth val="0"/>
        </c:ser>
        <c:ser>
          <c:idx val="1"/>
          <c:order val="1"/>
          <c:tx>
            <c:strRef>
              <c:f>Plan1!$J$64</c:f>
              <c:strCache>
                <c:ptCount val="1"/>
                <c:pt idx="0">
                  <c:v>Limite Inferior</c:v>
                </c:pt>
              </c:strCache>
            </c:strRef>
          </c:tx>
          <c:marker>
            <c:symbol val="none"/>
          </c:marker>
          <c:cat>
            <c:strRef>
              <c:f>Plan1!$H$65:$H$78</c:f>
              <c:strCache>
                <c:ptCount val="14"/>
                <c:pt idx="0">
                  <c:v>0</c:v>
                </c:pt>
                <c:pt idx="1">
                  <c:v>1</c:v>
                </c:pt>
                <c:pt idx="2">
                  <c:v>2</c:v>
                </c:pt>
                <c:pt idx="3">
                  <c:v>3</c:v>
                </c:pt>
                <c:pt idx="4">
                  <c:v>4</c:v>
                </c:pt>
                <c:pt idx="5">
                  <c:v>5</c:v>
                </c:pt>
                <c:pt idx="6">
                  <c:v>6</c:v>
                </c:pt>
                <c:pt idx="7">
                  <c:v>7</c:v>
                </c:pt>
                <c:pt idx="8">
                  <c:v>8</c:v>
                </c:pt>
                <c:pt idx="9">
                  <c:v>9</c:v>
                </c:pt>
                <c:pt idx="10">
                  <c:v>10</c:v>
                </c:pt>
                <c:pt idx="11">
                  <c:v>11</c:v>
                </c:pt>
                <c:pt idx="12">
                  <c:v>12</c:v>
                </c:pt>
                <c:pt idx="13">
                  <c:v>13</c:v>
                </c:pt>
              </c:strCache>
            </c:strRef>
          </c:cat>
          <c:val>
            <c:numRef>
              <c:f>Plan1!$J$65:$J$78</c:f>
              <c:numCache>
                <c:formatCode>General</c:formatCode>
                <c:ptCount val="14"/>
                <c:pt idx="0">
                  <c:v>100</c:v>
                </c:pt>
                <c:pt idx="1">
                  <c:v>91</c:v>
                </c:pt>
                <c:pt idx="2">
                  <c:v>79</c:v>
                </c:pt>
                <c:pt idx="3">
                  <c:v>76</c:v>
                </c:pt>
                <c:pt idx="4">
                  <c:v>71</c:v>
                </c:pt>
                <c:pt idx="5">
                  <c:v>66</c:v>
                </c:pt>
                <c:pt idx="6">
                  <c:v>60</c:v>
                </c:pt>
                <c:pt idx="7">
                  <c:v>59</c:v>
                </c:pt>
                <c:pt idx="8">
                  <c:v>53</c:v>
                </c:pt>
                <c:pt idx="9">
                  <c:v>51</c:v>
                </c:pt>
                <c:pt idx="10">
                  <c:v>44</c:v>
                </c:pt>
                <c:pt idx="11">
                  <c:v>38</c:v>
                </c:pt>
                <c:pt idx="12">
                  <c:v>38</c:v>
                </c:pt>
                <c:pt idx="13">
                  <c:v>38</c:v>
                </c:pt>
              </c:numCache>
            </c:numRef>
          </c:val>
          <c:smooth val="0"/>
        </c:ser>
        <c:ser>
          <c:idx val="2"/>
          <c:order val="2"/>
          <c:tx>
            <c:strRef>
              <c:f>Plan1!$K$64</c:f>
              <c:strCache>
                <c:ptCount val="1"/>
                <c:pt idx="0">
                  <c:v>Limite Superior</c:v>
                </c:pt>
              </c:strCache>
            </c:strRef>
          </c:tx>
          <c:marker>
            <c:symbol val="none"/>
          </c:marker>
          <c:cat>
            <c:strRef>
              <c:f>Plan1!$H$65:$H$78</c:f>
              <c:strCache>
                <c:ptCount val="14"/>
                <c:pt idx="0">
                  <c:v>0</c:v>
                </c:pt>
                <c:pt idx="1">
                  <c:v>1</c:v>
                </c:pt>
                <c:pt idx="2">
                  <c:v>2</c:v>
                </c:pt>
                <c:pt idx="3">
                  <c:v>3</c:v>
                </c:pt>
                <c:pt idx="4">
                  <c:v>4</c:v>
                </c:pt>
                <c:pt idx="5">
                  <c:v>5</c:v>
                </c:pt>
                <c:pt idx="6">
                  <c:v>6</c:v>
                </c:pt>
                <c:pt idx="7">
                  <c:v>7</c:v>
                </c:pt>
                <c:pt idx="8">
                  <c:v>8</c:v>
                </c:pt>
                <c:pt idx="9">
                  <c:v>9</c:v>
                </c:pt>
                <c:pt idx="10">
                  <c:v>10</c:v>
                </c:pt>
                <c:pt idx="11">
                  <c:v>11</c:v>
                </c:pt>
                <c:pt idx="12">
                  <c:v>12</c:v>
                </c:pt>
                <c:pt idx="13">
                  <c:v>13</c:v>
                </c:pt>
              </c:strCache>
            </c:strRef>
          </c:cat>
          <c:val>
            <c:numRef>
              <c:f>Plan1!$K$65:$K$78</c:f>
              <c:numCache>
                <c:formatCode>General</c:formatCode>
                <c:ptCount val="14"/>
                <c:pt idx="0">
                  <c:v>100</c:v>
                </c:pt>
                <c:pt idx="1">
                  <c:v>97</c:v>
                </c:pt>
                <c:pt idx="2">
                  <c:v>90</c:v>
                </c:pt>
                <c:pt idx="3">
                  <c:v>87</c:v>
                </c:pt>
                <c:pt idx="4">
                  <c:v>83</c:v>
                </c:pt>
                <c:pt idx="5">
                  <c:v>79</c:v>
                </c:pt>
                <c:pt idx="6">
                  <c:v>75</c:v>
                </c:pt>
                <c:pt idx="7">
                  <c:v>74</c:v>
                </c:pt>
                <c:pt idx="8">
                  <c:v>69</c:v>
                </c:pt>
                <c:pt idx="9">
                  <c:v>68</c:v>
                </c:pt>
                <c:pt idx="10">
                  <c:v>64</c:v>
                </c:pt>
                <c:pt idx="11">
                  <c:v>60</c:v>
                </c:pt>
                <c:pt idx="12">
                  <c:v>60</c:v>
                </c:pt>
                <c:pt idx="13">
                  <c:v>60</c:v>
                </c:pt>
              </c:numCache>
            </c:numRef>
          </c:val>
          <c:smooth val="0"/>
        </c:ser>
        <c:dLbls>
          <c:showLegendKey val="0"/>
          <c:showVal val="0"/>
          <c:showCatName val="0"/>
          <c:showSerName val="0"/>
          <c:showPercent val="0"/>
          <c:showBubbleSize val="0"/>
        </c:dLbls>
        <c:marker val="1"/>
        <c:smooth val="0"/>
        <c:axId val="58172544"/>
        <c:axId val="58174848"/>
      </c:lineChart>
      <c:catAx>
        <c:axId val="58172544"/>
        <c:scaling>
          <c:orientation val="minMax"/>
        </c:scaling>
        <c:delete val="0"/>
        <c:axPos val="b"/>
        <c:numFmt formatCode="General" sourceLinked="1"/>
        <c:majorTickMark val="out"/>
        <c:minorTickMark val="none"/>
        <c:tickLblPos val="nextTo"/>
        <c:txPr>
          <a:bodyPr/>
          <a:lstStyle/>
          <a:p>
            <a:pPr>
              <a:defRPr baseline="0">
                <a:latin typeface="Times New Roman" pitchFamily="18" charset="0"/>
              </a:defRPr>
            </a:pPr>
            <a:endParaRPr lang="pt-BR"/>
          </a:p>
        </c:txPr>
        <c:crossAx val="58174848"/>
        <c:crosses val="autoZero"/>
        <c:auto val="1"/>
        <c:lblAlgn val="ctr"/>
        <c:lblOffset val="100"/>
        <c:noMultiLvlLbl val="0"/>
      </c:catAx>
      <c:valAx>
        <c:axId val="58174848"/>
        <c:scaling>
          <c:orientation val="minMax"/>
          <c:max val="100"/>
        </c:scaling>
        <c:delete val="0"/>
        <c:axPos val="l"/>
        <c:numFmt formatCode="General" sourceLinked="1"/>
        <c:majorTickMark val="out"/>
        <c:minorTickMark val="none"/>
        <c:tickLblPos val="nextTo"/>
        <c:txPr>
          <a:bodyPr/>
          <a:lstStyle/>
          <a:p>
            <a:pPr>
              <a:defRPr baseline="0">
                <a:latin typeface="Times New Roman" pitchFamily="18" charset="0"/>
              </a:defRPr>
            </a:pPr>
            <a:endParaRPr lang="pt-BR"/>
          </a:p>
        </c:txPr>
        <c:crossAx val="58172544"/>
        <c:crosses val="autoZero"/>
        <c:crossBetween val="between"/>
      </c:valAx>
    </c:plotArea>
    <c:legend>
      <c:legendPos val="r"/>
      <c:overlay val="0"/>
      <c:txPr>
        <a:bodyPr/>
        <a:lstStyle/>
        <a:p>
          <a:pPr>
            <a:defRPr baseline="0">
              <a:latin typeface="Times New Roman" pitchFamily="18" charset="0"/>
            </a:defRPr>
          </a:pPr>
          <a:endParaRPr lang="pt-BR"/>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20</Pages>
  <Words>5727</Words>
  <Characters>30928</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Sobrevida e fatores de risco de mortalidade em pacientes sob hemodiálise</vt:lpstr>
    </vt:vector>
  </TitlesOfParts>
  <Company>Toshiba</Company>
  <LinksUpToDate>false</LinksUpToDate>
  <CharactersWithSpaces>36582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Sobrevida e fatores de risco de mortalidade em pacientes sob hemodiálise</dc:title>
  <dc:creator>ALUNO16</dc:creator>
  <cp:lastModifiedBy>INFOMARQUES</cp:lastModifiedBy>
  <cp:revision>7</cp:revision>
  <cp:lastPrinted>2015-01-22T20:57:00Z</cp:lastPrinted>
  <dcterms:created xsi:type="dcterms:W3CDTF">2015-11-23T13:05:00Z</dcterms:created>
  <dcterms:modified xsi:type="dcterms:W3CDTF">2016-01-07T12:12:00Z</dcterms:modified>
</cp:coreProperties>
</file>