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6FB" w:rsidRDefault="005526FB" w:rsidP="00082596">
      <w:pPr>
        <w:spacing w:after="0" w:line="240" w:lineRule="auto"/>
        <w:jc w:val="center"/>
        <w:rPr>
          <w:rFonts w:ascii="Times New Roman" w:hAnsi="Times New Roman"/>
          <w:sz w:val="24"/>
          <w:szCs w:val="24"/>
        </w:rPr>
      </w:pPr>
    </w:p>
    <w:p w:rsidR="00B206A4" w:rsidRPr="00DC3FF0" w:rsidRDefault="00B206A4" w:rsidP="00082596">
      <w:pPr>
        <w:spacing w:after="0" w:line="240" w:lineRule="auto"/>
        <w:jc w:val="center"/>
        <w:rPr>
          <w:rFonts w:ascii="Times New Roman" w:hAnsi="Times New Roman"/>
          <w:b/>
          <w:caps/>
          <w:color w:val="000000"/>
          <w:sz w:val="24"/>
          <w:szCs w:val="24"/>
          <w:lang w:eastAsia="pt-BR"/>
        </w:rPr>
      </w:pPr>
      <w:r w:rsidRPr="00DC3FF0">
        <w:rPr>
          <w:rFonts w:ascii="Times New Roman" w:hAnsi="Times New Roman"/>
          <w:sz w:val="24"/>
          <w:szCs w:val="24"/>
        </w:rPr>
        <w:t xml:space="preserve">Sobrevida e fatores de risco de mortalidade em pacientes </w:t>
      </w:r>
      <w:proofErr w:type="gramStart"/>
      <w:r w:rsidRPr="00DC3FF0">
        <w:rPr>
          <w:rFonts w:ascii="Times New Roman" w:hAnsi="Times New Roman"/>
          <w:sz w:val="24"/>
          <w:szCs w:val="24"/>
        </w:rPr>
        <w:t>sob hemodiálise</w:t>
      </w:r>
      <w:proofErr w:type="gramEnd"/>
      <w:r w:rsidRPr="00DC3FF0">
        <w:rPr>
          <w:rFonts w:ascii="Times New Roman" w:hAnsi="Times New Roman"/>
          <w:b/>
          <w:sz w:val="24"/>
          <w:szCs w:val="24"/>
        </w:rPr>
        <w:t xml:space="preserve"> </w:t>
      </w:r>
    </w:p>
    <w:p w:rsidR="00B206A4" w:rsidRPr="00DC3FF0" w:rsidRDefault="00B206A4" w:rsidP="00986AED">
      <w:pPr>
        <w:spacing w:line="360" w:lineRule="auto"/>
        <w:rPr>
          <w:rFonts w:ascii="Times New Roman" w:hAnsi="Times New Roman"/>
          <w:i/>
          <w:sz w:val="24"/>
          <w:szCs w:val="24"/>
        </w:rPr>
      </w:pPr>
    </w:p>
    <w:p w:rsidR="00B206A4" w:rsidRPr="00DC3FF0" w:rsidRDefault="00B206A4" w:rsidP="004C15E4">
      <w:pPr>
        <w:spacing w:after="0" w:line="240" w:lineRule="auto"/>
        <w:rPr>
          <w:rFonts w:ascii="Times New Roman" w:hAnsi="Times New Roman"/>
          <w:b/>
          <w:sz w:val="24"/>
          <w:szCs w:val="24"/>
        </w:rPr>
      </w:pPr>
    </w:p>
    <w:p w:rsidR="00B206A4" w:rsidRPr="00DC3FF0" w:rsidRDefault="00B206A4" w:rsidP="004C15E4">
      <w:pPr>
        <w:spacing w:after="0" w:line="240" w:lineRule="auto"/>
        <w:rPr>
          <w:rFonts w:ascii="Times New Roman" w:hAnsi="Times New Roman"/>
          <w:b/>
          <w:sz w:val="24"/>
          <w:szCs w:val="24"/>
        </w:rPr>
      </w:pPr>
      <w:r w:rsidRPr="00DC3FF0">
        <w:rPr>
          <w:rFonts w:ascii="Times New Roman" w:hAnsi="Times New Roman"/>
          <w:b/>
          <w:sz w:val="24"/>
          <w:szCs w:val="24"/>
        </w:rPr>
        <w:t>RESUMO</w:t>
      </w:r>
    </w:p>
    <w:p w:rsidR="00B206A4" w:rsidRDefault="00B206A4" w:rsidP="00076677">
      <w:pPr>
        <w:pStyle w:val="Body1"/>
        <w:spacing w:line="480" w:lineRule="auto"/>
        <w:jc w:val="both"/>
        <w:rPr>
          <w:rFonts w:ascii="Times New Roman" w:hAnsi="Times New Roman"/>
          <w:szCs w:val="24"/>
        </w:rPr>
      </w:pPr>
    </w:p>
    <w:p w:rsidR="00B206A4" w:rsidRPr="00DC3FF0" w:rsidRDefault="00B206A4" w:rsidP="00986AED">
      <w:pPr>
        <w:pStyle w:val="Body1"/>
        <w:spacing w:line="480" w:lineRule="auto"/>
        <w:jc w:val="both"/>
        <w:rPr>
          <w:rFonts w:ascii="Times New Roman" w:hAnsi="Times New Roman"/>
          <w:szCs w:val="24"/>
        </w:rPr>
      </w:pPr>
      <w:r w:rsidRPr="00DC3FF0">
        <w:rPr>
          <w:rFonts w:ascii="Times New Roman" w:hAnsi="Times New Roman"/>
          <w:szCs w:val="24"/>
        </w:rPr>
        <w:t xml:space="preserve">O objetivo deste estudo é determinar o padrão de mortalidade de pacientes em hemodiálise no Centro Pró-Renal de Barbacena e determinar a influência das variáveis mencionadas na </w:t>
      </w:r>
      <w:r w:rsidRPr="00986AED">
        <w:rPr>
          <w:rFonts w:ascii="Times New Roman" w:hAnsi="Times New Roman"/>
          <w:color w:val="auto"/>
          <w:szCs w:val="24"/>
        </w:rPr>
        <w:t xml:space="preserve">sobrevida desses pacientes no período de agosto de </w:t>
      </w:r>
      <w:smartTag w:uri="urn:schemas-microsoft-com:office:smarttags" w:element="metricconverter">
        <w:smartTagPr>
          <w:attr w:name="ProductID" w:val="2004 a"/>
        </w:smartTagPr>
        <w:r w:rsidRPr="00986AED">
          <w:rPr>
            <w:rFonts w:ascii="Times New Roman" w:hAnsi="Times New Roman"/>
            <w:color w:val="auto"/>
            <w:szCs w:val="24"/>
          </w:rPr>
          <w:t>2004 a</w:t>
        </w:r>
      </w:smartTag>
      <w:r w:rsidRPr="00986AED">
        <w:rPr>
          <w:rFonts w:ascii="Times New Roman" w:hAnsi="Times New Roman"/>
          <w:color w:val="auto"/>
          <w:szCs w:val="24"/>
        </w:rPr>
        <w:t xml:space="preserve"> julho de 2011. Trata-se de um</w:t>
      </w:r>
      <w:r w:rsidRPr="00DC3FF0">
        <w:rPr>
          <w:rFonts w:ascii="Times New Roman" w:hAnsi="Times New Roman"/>
          <w:szCs w:val="24"/>
        </w:rPr>
        <w:t xml:space="preserve"> estudo de corte transversal constituído de uma amostra de 202 pacientes </w:t>
      </w:r>
      <w:proofErr w:type="gramStart"/>
      <w:r w:rsidRPr="00DC3FF0">
        <w:rPr>
          <w:rFonts w:ascii="Times New Roman" w:hAnsi="Times New Roman"/>
          <w:szCs w:val="24"/>
        </w:rPr>
        <w:t>sob tratamento</w:t>
      </w:r>
      <w:proofErr w:type="gramEnd"/>
      <w:r w:rsidRPr="00DC3FF0">
        <w:rPr>
          <w:rFonts w:ascii="Times New Roman" w:hAnsi="Times New Roman"/>
          <w:szCs w:val="24"/>
        </w:rPr>
        <w:t xml:space="preserve"> </w:t>
      </w:r>
      <w:proofErr w:type="spellStart"/>
      <w:r w:rsidRPr="00DC3FF0">
        <w:rPr>
          <w:rFonts w:ascii="Times New Roman" w:hAnsi="Times New Roman"/>
          <w:szCs w:val="24"/>
        </w:rPr>
        <w:t>hemodialítico</w:t>
      </w:r>
      <w:proofErr w:type="spellEnd"/>
      <w:r w:rsidRPr="00DC3FF0">
        <w:rPr>
          <w:rFonts w:ascii="Times New Roman" w:hAnsi="Times New Roman"/>
          <w:szCs w:val="24"/>
        </w:rPr>
        <w:t xml:space="preserve">. A análise dos dados foi feita em microcomputador, com recursos de processamento estatístico do “software” (STATA 9.2). Foram construídas as distribuições de frequência e calculadas as medidas, desvios padrões e percentagens indicadas para </w:t>
      </w:r>
      <w:proofErr w:type="gramStart"/>
      <w:r w:rsidRPr="00DC3FF0">
        <w:rPr>
          <w:rFonts w:ascii="Times New Roman" w:hAnsi="Times New Roman"/>
          <w:szCs w:val="24"/>
        </w:rPr>
        <w:t>cada</w:t>
      </w:r>
      <w:proofErr w:type="gramEnd"/>
      <w:r w:rsidRPr="00DC3FF0">
        <w:rPr>
          <w:rFonts w:ascii="Times New Roman" w:hAnsi="Times New Roman"/>
          <w:szCs w:val="24"/>
        </w:rPr>
        <w:t xml:space="preserve"> </w:t>
      </w:r>
      <w:proofErr w:type="gramStart"/>
      <w:r w:rsidRPr="00DC3FF0">
        <w:rPr>
          <w:rFonts w:ascii="Times New Roman" w:hAnsi="Times New Roman"/>
          <w:szCs w:val="24"/>
        </w:rPr>
        <w:t>variável</w:t>
      </w:r>
      <w:proofErr w:type="gramEnd"/>
      <w:r w:rsidRPr="00DC3FF0">
        <w:rPr>
          <w:rFonts w:ascii="Times New Roman" w:hAnsi="Times New Roman"/>
          <w:szCs w:val="24"/>
        </w:rPr>
        <w:t xml:space="preserve">. </w:t>
      </w:r>
      <w:r>
        <w:rPr>
          <w:rFonts w:ascii="Times New Roman" w:hAnsi="Times New Roman"/>
          <w:szCs w:val="24"/>
        </w:rPr>
        <w:t>A</w:t>
      </w:r>
      <w:r w:rsidRPr="00DC3FF0">
        <w:rPr>
          <w:rFonts w:ascii="Times New Roman" w:hAnsi="Times New Roman"/>
          <w:szCs w:val="24"/>
        </w:rPr>
        <w:t xml:space="preserve"> taxa de sobrevida foi de 85% no final do primeiro ano de tratamento e 67% no quinto ano. As principais causas de óbito foram doenças cardiovasculares (34,4%), outras causas (21,3%) e doenças infecciosas (16,4%).  Valores de </w:t>
      </w:r>
      <w:proofErr w:type="spellStart"/>
      <w:r w:rsidRPr="00DC3FF0">
        <w:rPr>
          <w:rFonts w:ascii="Times New Roman" w:hAnsi="Times New Roman"/>
          <w:szCs w:val="24"/>
        </w:rPr>
        <w:t>Kt</w:t>
      </w:r>
      <w:proofErr w:type="spellEnd"/>
      <w:r w:rsidRPr="00DC3FF0">
        <w:rPr>
          <w:rFonts w:ascii="Times New Roman" w:hAnsi="Times New Roman"/>
          <w:szCs w:val="24"/>
        </w:rPr>
        <w:t xml:space="preserve">/V acima de </w:t>
      </w:r>
      <w:proofErr w:type="gramStart"/>
      <w:r w:rsidRPr="00DC3FF0">
        <w:rPr>
          <w:rFonts w:ascii="Times New Roman" w:hAnsi="Times New Roman"/>
          <w:szCs w:val="24"/>
        </w:rPr>
        <w:t>1,3 ,</w:t>
      </w:r>
      <w:proofErr w:type="gramEnd"/>
      <w:r w:rsidRPr="00DC3FF0">
        <w:rPr>
          <w:rFonts w:ascii="Times New Roman" w:hAnsi="Times New Roman"/>
          <w:szCs w:val="24"/>
        </w:rPr>
        <w:t xml:space="preserve"> hemoglobina  &gt;7 g/ </w:t>
      </w:r>
      <w:proofErr w:type="spellStart"/>
      <w:r w:rsidRPr="00DC3FF0">
        <w:rPr>
          <w:rFonts w:ascii="Times New Roman" w:hAnsi="Times New Roman"/>
          <w:szCs w:val="24"/>
        </w:rPr>
        <w:t>dL</w:t>
      </w:r>
      <w:proofErr w:type="spellEnd"/>
      <w:r w:rsidRPr="00DC3FF0">
        <w:rPr>
          <w:rFonts w:ascii="Times New Roman" w:hAnsi="Times New Roman"/>
          <w:szCs w:val="24"/>
        </w:rPr>
        <w:t xml:space="preserve">, </w:t>
      </w:r>
      <w:proofErr w:type="spellStart"/>
      <w:r w:rsidRPr="00DC3FF0">
        <w:rPr>
          <w:rFonts w:ascii="Times New Roman" w:hAnsi="Times New Roman"/>
          <w:szCs w:val="24"/>
        </w:rPr>
        <w:t>ferritina</w:t>
      </w:r>
      <w:proofErr w:type="spellEnd"/>
      <w:r w:rsidRPr="00DC3FF0">
        <w:rPr>
          <w:rFonts w:ascii="Times New Roman" w:hAnsi="Times New Roman"/>
          <w:szCs w:val="24"/>
        </w:rPr>
        <w:t xml:space="preserve"> entre 200 e 800,  PTH &lt; 400, albumina sérica &gt; 3,5g/</w:t>
      </w:r>
      <w:proofErr w:type="spellStart"/>
      <w:r w:rsidRPr="00DC3FF0">
        <w:rPr>
          <w:rFonts w:ascii="Times New Roman" w:hAnsi="Times New Roman"/>
          <w:szCs w:val="24"/>
        </w:rPr>
        <w:t>dL</w:t>
      </w:r>
      <w:proofErr w:type="spellEnd"/>
      <w:r w:rsidRPr="00DC3FF0">
        <w:rPr>
          <w:rFonts w:ascii="Times New Roman" w:hAnsi="Times New Roman"/>
          <w:szCs w:val="24"/>
        </w:rPr>
        <w:t xml:space="preserve"> estão relacionados c</w:t>
      </w:r>
      <w:r>
        <w:rPr>
          <w:rFonts w:ascii="Times New Roman" w:hAnsi="Times New Roman"/>
          <w:szCs w:val="24"/>
        </w:rPr>
        <w:t xml:space="preserve">om melhores taxas de sobrevida. </w:t>
      </w:r>
      <w:proofErr w:type="gramStart"/>
      <w:r>
        <w:rPr>
          <w:rFonts w:ascii="Times New Roman" w:hAnsi="Times New Roman"/>
          <w:szCs w:val="24"/>
        </w:rPr>
        <w:t>A</w:t>
      </w:r>
      <w:r w:rsidRPr="00DC3FF0">
        <w:rPr>
          <w:rFonts w:ascii="Times New Roman" w:hAnsi="Times New Roman"/>
          <w:szCs w:val="24"/>
        </w:rPr>
        <w:t>s variáveis albumina</w:t>
      </w:r>
      <w:proofErr w:type="gramEnd"/>
      <w:r w:rsidRPr="00DC3FF0">
        <w:rPr>
          <w:rFonts w:ascii="Times New Roman" w:hAnsi="Times New Roman"/>
          <w:szCs w:val="24"/>
        </w:rPr>
        <w:t xml:space="preserve">, </w:t>
      </w:r>
      <w:proofErr w:type="spellStart"/>
      <w:r w:rsidRPr="00DC3FF0">
        <w:rPr>
          <w:rFonts w:ascii="Times New Roman" w:hAnsi="Times New Roman"/>
          <w:szCs w:val="24"/>
        </w:rPr>
        <w:t>Kt</w:t>
      </w:r>
      <w:proofErr w:type="spellEnd"/>
      <w:r w:rsidRPr="00DC3FF0">
        <w:rPr>
          <w:rFonts w:ascii="Times New Roman" w:hAnsi="Times New Roman"/>
          <w:szCs w:val="24"/>
        </w:rPr>
        <w:t xml:space="preserve">/V, hemoglobina, </w:t>
      </w:r>
      <w:proofErr w:type="spellStart"/>
      <w:r w:rsidRPr="00DC3FF0">
        <w:rPr>
          <w:rFonts w:ascii="Times New Roman" w:hAnsi="Times New Roman"/>
          <w:szCs w:val="24"/>
        </w:rPr>
        <w:t>ferritina</w:t>
      </w:r>
      <w:proofErr w:type="spellEnd"/>
      <w:r w:rsidRPr="00DC3FF0">
        <w:rPr>
          <w:rFonts w:ascii="Times New Roman" w:hAnsi="Times New Roman"/>
          <w:szCs w:val="24"/>
        </w:rPr>
        <w:t xml:space="preserve"> e PTH estão relacionadas à sobrevida e são preditivos de fatores de risco de mortalidade para pacientes </w:t>
      </w:r>
      <w:proofErr w:type="spellStart"/>
      <w:r w:rsidRPr="00DC3FF0">
        <w:rPr>
          <w:rFonts w:ascii="Times New Roman" w:hAnsi="Times New Roman"/>
          <w:szCs w:val="24"/>
        </w:rPr>
        <w:t>hemodialíticos</w:t>
      </w:r>
      <w:proofErr w:type="spellEnd"/>
      <w:r w:rsidRPr="00DC3FF0">
        <w:rPr>
          <w:rFonts w:ascii="Times New Roman" w:hAnsi="Times New Roman"/>
          <w:szCs w:val="24"/>
        </w:rPr>
        <w:t xml:space="preserve">. Para se </w:t>
      </w:r>
      <w:proofErr w:type="gramStart"/>
      <w:r w:rsidRPr="00DC3FF0">
        <w:rPr>
          <w:rFonts w:ascii="Times New Roman" w:hAnsi="Times New Roman"/>
          <w:szCs w:val="24"/>
        </w:rPr>
        <w:t>obter</w:t>
      </w:r>
      <w:proofErr w:type="gramEnd"/>
      <w:r w:rsidRPr="00DC3FF0">
        <w:rPr>
          <w:rFonts w:ascii="Times New Roman" w:hAnsi="Times New Roman"/>
          <w:szCs w:val="24"/>
        </w:rPr>
        <w:t xml:space="preserve"> bons resultados prognósticos em relação aos pacientes em tratamento </w:t>
      </w:r>
      <w:proofErr w:type="spellStart"/>
      <w:r w:rsidRPr="00DC3FF0">
        <w:rPr>
          <w:rFonts w:ascii="Times New Roman" w:hAnsi="Times New Roman"/>
          <w:szCs w:val="24"/>
        </w:rPr>
        <w:t>hemodialítico</w:t>
      </w:r>
      <w:proofErr w:type="spellEnd"/>
      <w:r w:rsidRPr="00DC3FF0">
        <w:rPr>
          <w:rFonts w:ascii="Times New Roman" w:hAnsi="Times New Roman"/>
          <w:szCs w:val="24"/>
        </w:rPr>
        <w:t>, é fundamental que as variáveis analisadas no estudo sejam corretamente avaliadas.</w:t>
      </w:r>
    </w:p>
    <w:p w:rsidR="00B206A4" w:rsidRPr="00DC3FF0" w:rsidRDefault="00B206A4" w:rsidP="00076677">
      <w:pPr>
        <w:spacing w:line="480" w:lineRule="auto"/>
        <w:jc w:val="both"/>
        <w:rPr>
          <w:rFonts w:ascii="Times New Roman" w:hAnsi="Times New Roman"/>
          <w:sz w:val="24"/>
          <w:szCs w:val="24"/>
        </w:rPr>
      </w:pPr>
    </w:p>
    <w:p w:rsidR="00B206A4" w:rsidRPr="00DC3FF0" w:rsidRDefault="00B206A4" w:rsidP="00076677">
      <w:pPr>
        <w:spacing w:line="480" w:lineRule="auto"/>
        <w:jc w:val="both"/>
        <w:rPr>
          <w:rFonts w:ascii="Times New Roman" w:hAnsi="Times New Roman"/>
          <w:sz w:val="24"/>
          <w:szCs w:val="24"/>
        </w:rPr>
      </w:pPr>
      <w:r w:rsidRPr="00DC3FF0">
        <w:rPr>
          <w:rFonts w:ascii="Times New Roman" w:hAnsi="Times New Roman"/>
          <w:sz w:val="24"/>
          <w:szCs w:val="24"/>
        </w:rPr>
        <w:t>Palavras-chaves: Insuficiência Renal Crônica. Hemodiálise. Sobrevida. Mortalidade.</w:t>
      </w:r>
    </w:p>
    <w:p w:rsidR="00B206A4" w:rsidRPr="00DC3FF0" w:rsidRDefault="00B206A4" w:rsidP="00076677">
      <w:pPr>
        <w:spacing w:line="480" w:lineRule="auto"/>
        <w:jc w:val="both"/>
        <w:rPr>
          <w:rFonts w:ascii="Times New Roman" w:hAnsi="Times New Roman"/>
          <w:sz w:val="24"/>
          <w:szCs w:val="24"/>
        </w:rPr>
      </w:pPr>
      <w:r w:rsidRPr="00DC3FF0">
        <w:rPr>
          <w:rFonts w:ascii="Times New Roman" w:hAnsi="Times New Roman"/>
          <w:sz w:val="24"/>
          <w:szCs w:val="24"/>
        </w:rPr>
        <w:t>.</w:t>
      </w: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sz w:val="24"/>
          <w:szCs w:val="24"/>
        </w:rPr>
      </w:pPr>
      <w:r w:rsidRPr="00DC3FF0">
        <w:rPr>
          <w:rFonts w:ascii="Times New Roman" w:hAnsi="Times New Roman"/>
          <w:b/>
          <w:color w:val="000000"/>
          <w:sz w:val="24"/>
          <w:szCs w:val="24"/>
        </w:rPr>
        <w:t xml:space="preserve">INTRODUÇÃO </w:t>
      </w:r>
    </w:p>
    <w:p w:rsidR="00B206A4" w:rsidRPr="00DC3FF0" w:rsidRDefault="00B206A4" w:rsidP="00076677">
      <w:pPr>
        <w:pStyle w:val="Body1"/>
        <w:spacing w:line="480" w:lineRule="auto"/>
        <w:ind w:firstLine="357"/>
        <w:jc w:val="both"/>
        <w:rPr>
          <w:rFonts w:ascii="Times New Roman" w:hAnsi="Times New Roman"/>
          <w:szCs w:val="24"/>
        </w:rPr>
      </w:pP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Doença Renal Crônica (DRC) é uma condição fisiopatológica secundária a um grande número de afecções que resultam em lesão e perda progressiva da função dos </w:t>
      </w:r>
      <w:proofErr w:type="spellStart"/>
      <w:r w:rsidRPr="00DC3FF0">
        <w:rPr>
          <w:rFonts w:ascii="Times New Roman" w:hAnsi="Times New Roman"/>
          <w:szCs w:val="24"/>
        </w:rPr>
        <w:t>néfrons</w:t>
      </w:r>
      <w:proofErr w:type="spellEnd"/>
      <w:r w:rsidRPr="00DC3FF0">
        <w:rPr>
          <w:rFonts w:ascii="Times New Roman" w:hAnsi="Times New Roman"/>
          <w:szCs w:val="24"/>
        </w:rPr>
        <w:t xml:space="preserve"> (MARTINS, 2005). Apesar da evolução do quadro ser variável de paciente para paciente, o resultado final da Doença Renal Crônica é um conjunto de sinais e sintomas comuns, decorrentes da incapacidade dos rins de manter a hemostasia interna (RIELLA; PECOITS-FILHO, 2003).</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No Brasil, a DRC tem como causas primárias mais prevalentes a hipertensão arterial (35%) e diabetes (27%). As principais causas de morte são, em primeiro lugar, as doenças cardiovasculares (35%), seguidas de doenças infecciosas (24%), cerebrovasculares (9%), neoplasias (7%), outros (16%) e causas desconhecidas (8%) (</w:t>
      </w:r>
      <w:r w:rsidRPr="00DC3FF0">
        <w:rPr>
          <w:rFonts w:ascii="Times New Roman" w:hAnsi="Times New Roman"/>
          <w:color w:val="231F20"/>
          <w:szCs w:val="24"/>
        </w:rPr>
        <w:t>SESSO et al., 2010)</w:t>
      </w:r>
      <w:r w:rsidRPr="00DC3FF0">
        <w:rPr>
          <w:rFonts w:ascii="Times New Roman" w:hAnsi="Times New Roman"/>
          <w:szCs w:val="24"/>
        </w:rPr>
        <w:t xml:space="preserve"> </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Por ser geralmente uma afecção de curso insidioso, o doente procura atendimento médico quando já apresenta redução significativa da função renal,  resultando em sinais e sintomas potencialmente graves (MARTINS, 2005).</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tratamento para DRC é realizado com controle da doença de base, terapia nutricional e terapia renal substitutiva (hemodiálise, diálise peritoneal ou transplante renal). No Brasil, a maioria dos pacientes encontra-se em tratamento </w:t>
      </w:r>
      <w:proofErr w:type="spellStart"/>
      <w:r w:rsidRPr="00DC3FF0">
        <w:rPr>
          <w:rFonts w:ascii="Times New Roman" w:hAnsi="Times New Roman"/>
          <w:szCs w:val="24"/>
        </w:rPr>
        <w:t>hemodialítico</w:t>
      </w:r>
      <w:proofErr w:type="spellEnd"/>
      <w:r w:rsidRPr="00DC3FF0">
        <w:rPr>
          <w:rFonts w:ascii="Times New Roman" w:hAnsi="Times New Roman"/>
          <w:szCs w:val="24"/>
        </w:rPr>
        <w:t>, uma vez que é o método de mais fácil acesso no nosso meio, o que faz com que a maioria dos pacientes seja direcionada a essa modalidade (AZEVEDO et al., 2009).</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 expectativa de vida dos doentes renais crônicos é menor que a da população geral, o que é explicado pela alta taxa de eventos cardiovasculares e à maior predisposição a infecções e neoplasias (CANZIANI, 2004). O risco de ocorrência de eventos cardiovasculares é de </w:t>
      </w:r>
      <w:smartTag w:uri="urn:schemas-microsoft-com:office:smarttags" w:element="metricconverter">
        <w:smartTagPr>
          <w:attr w:name="ProductID" w:val="20 a"/>
        </w:smartTagPr>
        <w:r w:rsidRPr="00DC3FF0">
          <w:rPr>
            <w:rFonts w:ascii="Times New Roman" w:hAnsi="Times New Roman"/>
            <w:szCs w:val="24"/>
          </w:rPr>
          <w:t>20 a</w:t>
        </w:r>
      </w:smartTag>
      <w:r w:rsidRPr="00DC3FF0">
        <w:rPr>
          <w:rFonts w:ascii="Times New Roman" w:hAnsi="Times New Roman"/>
          <w:szCs w:val="24"/>
        </w:rPr>
        <w:t xml:space="preserve"> 100 vezes maior em pacientes renais crônicos, quando comparados à população geral. E, ainda que o transplante renal seja importante para a redução de tais índices, a mortalidade </w:t>
      </w:r>
      <w:r w:rsidRPr="00DC3FF0">
        <w:rPr>
          <w:rFonts w:ascii="Times New Roman" w:hAnsi="Times New Roman"/>
          <w:szCs w:val="24"/>
        </w:rPr>
        <w:lastRenderedPageBreak/>
        <w:t>cardiovascular continua sendo, em média, dez vezes maior que na população geral (ARANTES, 2008).</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Vários estudos relataram que a mortalidade de tais pacientes está estreitamente relacionada a fatores como idade, gênero, albumina, índice de eficiência de diálise (</w:t>
      </w:r>
      <w:proofErr w:type="spellStart"/>
      <w:r w:rsidRPr="00DC3FF0">
        <w:rPr>
          <w:rFonts w:ascii="Times New Roman" w:hAnsi="Times New Roman"/>
          <w:szCs w:val="24"/>
        </w:rPr>
        <w:t>Kt</w:t>
      </w:r>
      <w:proofErr w:type="spellEnd"/>
      <w:r w:rsidRPr="00DC3FF0">
        <w:rPr>
          <w:rFonts w:ascii="Times New Roman" w:hAnsi="Times New Roman"/>
          <w:szCs w:val="24"/>
        </w:rPr>
        <w:t>/V), hemoglobina (</w:t>
      </w:r>
      <w:proofErr w:type="spellStart"/>
      <w:r w:rsidRPr="00DC3FF0">
        <w:rPr>
          <w:rFonts w:ascii="Times New Roman" w:hAnsi="Times New Roman"/>
          <w:szCs w:val="24"/>
        </w:rPr>
        <w:t>Hb</w:t>
      </w:r>
      <w:proofErr w:type="spellEnd"/>
      <w:r w:rsidRPr="00DC3FF0">
        <w:rPr>
          <w:rFonts w:ascii="Times New Roman" w:hAnsi="Times New Roman"/>
          <w:szCs w:val="24"/>
        </w:rPr>
        <w:t>), produto cálcio x fósforo (</w:t>
      </w:r>
      <w:proofErr w:type="spellStart"/>
      <w:r w:rsidRPr="00DC3FF0">
        <w:rPr>
          <w:rFonts w:ascii="Times New Roman" w:hAnsi="Times New Roman"/>
          <w:szCs w:val="24"/>
        </w:rPr>
        <w:t>CaXP</w:t>
      </w:r>
      <w:proofErr w:type="spellEnd"/>
      <w:r w:rsidRPr="00DC3FF0">
        <w:rPr>
          <w:rFonts w:ascii="Times New Roman" w:hAnsi="Times New Roman"/>
          <w:szCs w:val="24"/>
        </w:rPr>
        <w:t>) e paratormônio (PTH).</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O modo com que tais fatores se relacionam com a mortalidade dos pacientes pode, entretanto, variar de população para população e de grupo para grupo e a aferição repetida dessas relações é desejável quando se leva em consideração tais variações.</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Azevedo et al.(2005) realizou, no Centro Pró-Renal de Barbacena, no período de janeiro de </w:t>
      </w:r>
      <w:smartTag w:uri="urn:schemas-microsoft-com:office:smarttags" w:element="metricconverter">
        <w:smartTagPr>
          <w:attr w:name="ProductID" w:val="1999 a"/>
        </w:smartTagPr>
        <w:r w:rsidRPr="00DC3FF0">
          <w:rPr>
            <w:rFonts w:ascii="Times New Roman" w:hAnsi="Times New Roman"/>
            <w:szCs w:val="24"/>
          </w:rPr>
          <w:t>1999 a</w:t>
        </w:r>
      </w:smartTag>
      <w:r w:rsidRPr="00DC3FF0">
        <w:rPr>
          <w:rFonts w:ascii="Times New Roman" w:hAnsi="Times New Roman"/>
          <w:szCs w:val="24"/>
        </w:rPr>
        <w:t xml:space="preserve"> julho de 2004, um trabalho no qual se verificou que as principais causas de morte em paciente sob tratamento dialítico são: doenças cardiovasculares (45%), infecções (23,9%) e neoplasias (13%). Em relação ao sexo não foi encontrada diferença significativa na sobrevida. No que se refere às faixas etárias, a taxa de mortalidade mais alta foi observada no grupo acima de 61 anos. No tocante à albumina, os pacientes que iniciaram o tratamento com um nível de albumina baixo (&lt;2,5 g/</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consideravelmente menor. Considerando o </w:t>
      </w:r>
      <w:proofErr w:type="spellStart"/>
      <w:r w:rsidRPr="00DC3FF0">
        <w:rPr>
          <w:rFonts w:ascii="Times New Roman" w:hAnsi="Times New Roman"/>
          <w:szCs w:val="24"/>
        </w:rPr>
        <w:t>Kt</w:t>
      </w:r>
      <w:proofErr w:type="spellEnd"/>
      <w:r w:rsidRPr="00DC3FF0">
        <w:rPr>
          <w:rFonts w:ascii="Times New Roman" w:hAnsi="Times New Roman"/>
          <w:szCs w:val="24"/>
        </w:rPr>
        <w:t xml:space="preserve">/V, os pacientes que mantiveram índice acima de 1,2 tiveram maior sobrevida. Já em relação à </w:t>
      </w:r>
      <w:proofErr w:type="spellStart"/>
      <w:r w:rsidRPr="00DC3FF0">
        <w:rPr>
          <w:rFonts w:ascii="Times New Roman" w:hAnsi="Times New Roman"/>
          <w:szCs w:val="24"/>
        </w:rPr>
        <w:t>Hb</w:t>
      </w:r>
      <w:proofErr w:type="spellEnd"/>
      <w:r w:rsidRPr="00DC3FF0">
        <w:rPr>
          <w:rFonts w:ascii="Times New Roman" w:hAnsi="Times New Roman"/>
          <w:szCs w:val="24"/>
        </w:rPr>
        <w:t xml:space="preserve">, o grupo que manteve </w:t>
      </w:r>
      <w:proofErr w:type="spellStart"/>
      <w:r w:rsidRPr="00DC3FF0">
        <w:rPr>
          <w:rFonts w:ascii="Times New Roman" w:hAnsi="Times New Roman"/>
          <w:szCs w:val="24"/>
        </w:rPr>
        <w:t>Hb</w:t>
      </w:r>
      <w:proofErr w:type="spellEnd"/>
      <w:r w:rsidRPr="00DC3FF0">
        <w:rPr>
          <w:rFonts w:ascii="Times New Roman" w:hAnsi="Times New Roman"/>
          <w:szCs w:val="24"/>
        </w:rPr>
        <w:t>&lt;10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teve sobrevida de 66% contra 94% do grupo com </w:t>
      </w:r>
      <w:proofErr w:type="spellStart"/>
      <w:r w:rsidRPr="00DC3FF0">
        <w:rPr>
          <w:rFonts w:ascii="Times New Roman" w:hAnsi="Times New Roman"/>
          <w:szCs w:val="24"/>
        </w:rPr>
        <w:t>Hb</w:t>
      </w:r>
      <w:proofErr w:type="spellEnd"/>
      <w:r w:rsidRPr="00DC3FF0">
        <w:rPr>
          <w:rFonts w:ascii="Times New Roman" w:hAnsi="Times New Roman"/>
          <w:szCs w:val="24"/>
        </w:rPr>
        <w:t>&gt;10%. Os pacientes com níveis de PTH entre 300 e 600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semelhante quando comparada à dos pacientes com níveis acima de 600 </w:t>
      </w:r>
      <w:proofErr w:type="spellStart"/>
      <w:r w:rsidRPr="00DC3FF0">
        <w:rPr>
          <w:rFonts w:ascii="Times New Roman" w:hAnsi="Times New Roman"/>
          <w:szCs w:val="24"/>
        </w:rPr>
        <w:t>ng</w:t>
      </w:r>
      <w:proofErr w:type="spellEnd"/>
      <w:r w:rsidRPr="00DC3FF0">
        <w:rPr>
          <w:rFonts w:ascii="Times New Roman" w:hAnsi="Times New Roman"/>
          <w:szCs w:val="24"/>
        </w:rPr>
        <w:t>/</w:t>
      </w:r>
      <w:proofErr w:type="spellStart"/>
      <w:r w:rsidRPr="00DC3FF0">
        <w:rPr>
          <w:rFonts w:ascii="Times New Roman" w:hAnsi="Times New Roman"/>
          <w:szCs w:val="24"/>
        </w:rPr>
        <w:t>dL</w:t>
      </w:r>
      <w:proofErr w:type="spellEnd"/>
      <w:r w:rsidRPr="00DC3FF0">
        <w:rPr>
          <w:rFonts w:ascii="Times New Roman" w:hAnsi="Times New Roman"/>
          <w:szCs w:val="24"/>
        </w:rPr>
        <w:t xml:space="preserve">, sendo que os com níveis abaixo de 300 </w:t>
      </w:r>
      <w:proofErr w:type="spellStart"/>
      <w:r w:rsidRPr="00DC3FF0">
        <w:rPr>
          <w:rFonts w:ascii="Times New Roman" w:hAnsi="Times New Roman"/>
          <w:szCs w:val="24"/>
        </w:rPr>
        <w:t>ng</w:t>
      </w:r>
      <w:proofErr w:type="spellEnd"/>
      <w:r w:rsidRPr="00DC3FF0">
        <w:rPr>
          <w:rFonts w:ascii="Times New Roman" w:hAnsi="Times New Roman"/>
          <w:szCs w:val="24"/>
        </w:rPr>
        <w:t>/</w:t>
      </w:r>
      <w:proofErr w:type="spellStart"/>
      <w:r w:rsidRPr="00DC3FF0">
        <w:rPr>
          <w:rFonts w:ascii="Times New Roman" w:hAnsi="Times New Roman"/>
          <w:szCs w:val="24"/>
        </w:rPr>
        <w:t>dL</w:t>
      </w:r>
      <w:proofErr w:type="spellEnd"/>
      <w:r w:rsidRPr="00DC3FF0">
        <w:rPr>
          <w:rFonts w:ascii="Times New Roman" w:hAnsi="Times New Roman"/>
          <w:szCs w:val="24"/>
        </w:rPr>
        <w:t xml:space="preserve"> tiveram sobrevida significativamente menor. Por último, os pacientes que mantiveram níveis do produto </w:t>
      </w:r>
      <w:proofErr w:type="spellStart"/>
      <w:r w:rsidRPr="00DC3FF0">
        <w:rPr>
          <w:rFonts w:ascii="Times New Roman" w:hAnsi="Times New Roman"/>
          <w:szCs w:val="24"/>
        </w:rPr>
        <w:t>CaxP</w:t>
      </w:r>
      <w:proofErr w:type="spellEnd"/>
      <w:r w:rsidRPr="00DC3FF0">
        <w:rPr>
          <w:rFonts w:ascii="Times New Roman" w:hAnsi="Times New Roman"/>
          <w:szCs w:val="24"/>
        </w:rPr>
        <w:t xml:space="preserve"> abaixo de 50 mg/</w:t>
      </w:r>
      <w:proofErr w:type="spellStart"/>
      <w:r w:rsidRPr="00DC3FF0">
        <w:rPr>
          <w:rFonts w:ascii="Times New Roman" w:hAnsi="Times New Roman"/>
          <w:szCs w:val="24"/>
        </w:rPr>
        <w:t>dL</w:t>
      </w:r>
      <w:proofErr w:type="spellEnd"/>
      <w:r w:rsidRPr="00DC3FF0">
        <w:rPr>
          <w:rFonts w:ascii="Times New Roman" w:hAnsi="Times New Roman"/>
          <w:szCs w:val="24"/>
        </w:rPr>
        <w:t xml:space="preserve"> apresentaram menos mortalidade que aqueles com níveis acima desse valor.</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Em Barbacena, como citado no estudo de Azevedo et al. (2005), há 7 anos foi feito um estudo sobre a sobrevida e os fatores relacionados à mortalidade no Centro Pró-Renal. Porém, </w:t>
      </w:r>
      <w:r w:rsidRPr="00DC3FF0">
        <w:rPr>
          <w:rFonts w:ascii="Times New Roman" w:hAnsi="Times New Roman"/>
          <w:szCs w:val="24"/>
        </w:rPr>
        <w:lastRenderedPageBreak/>
        <w:t>o número de pacientes aumentou e ainda não foi estabelecido um padrão de mortalidade na clínica com um numero maior de variáveis demográficas, clínicas e laboratoriais.</w:t>
      </w:r>
    </w:p>
    <w:p w:rsidR="00B206A4" w:rsidRPr="00DC3FF0" w:rsidRDefault="00B206A4" w:rsidP="00076677">
      <w:pPr>
        <w:pStyle w:val="Body1"/>
        <w:spacing w:line="480" w:lineRule="auto"/>
        <w:ind w:firstLine="357"/>
        <w:jc w:val="both"/>
        <w:rPr>
          <w:rFonts w:ascii="Times New Roman" w:hAnsi="Times New Roman"/>
          <w:szCs w:val="24"/>
        </w:rPr>
      </w:pPr>
      <w:r w:rsidRPr="00DC3FF0">
        <w:rPr>
          <w:rFonts w:ascii="Times New Roman" w:hAnsi="Times New Roman"/>
          <w:szCs w:val="24"/>
        </w:rPr>
        <w:t xml:space="preserve">O objetivo deste estudo é exatamente determinar o padrão de mortalidade de pacientes em hemodiálise no Centro Pró-Renal de Barbacena e determinar a influência das variáveis mencionadas na sobrevida desses pacientes no período de janeiro de </w:t>
      </w:r>
      <w:smartTag w:uri="urn:schemas-microsoft-com:office:smarttags" w:element="metricconverter">
        <w:smartTagPr>
          <w:attr w:name="ProductID" w:val="2006 a"/>
        </w:smartTagPr>
        <w:r w:rsidRPr="00DC3FF0">
          <w:rPr>
            <w:rFonts w:ascii="Times New Roman" w:hAnsi="Times New Roman"/>
            <w:szCs w:val="24"/>
          </w:rPr>
          <w:t>2006 a</w:t>
        </w:r>
      </w:smartTag>
      <w:r w:rsidRPr="00DC3FF0">
        <w:rPr>
          <w:rFonts w:ascii="Times New Roman" w:hAnsi="Times New Roman"/>
          <w:szCs w:val="24"/>
        </w:rPr>
        <w:t xml:space="preserve"> maio de 2012.</w:t>
      </w: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MATERIAIS E MÉTODOS </w:t>
      </w:r>
    </w:p>
    <w:p w:rsidR="00B206A4" w:rsidRPr="00DC3FF0" w:rsidRDefault="00B206A4" w:rsidP="00076677">
      <w:pPr>
        <w:spacing w:after="0" w:line="480" w:lineRule="auto"/>
        <w:jc w:val="both"/>
        <w:rPr>
          <w:rFonts w:ascii="Times New Roman" w:hAnsi="Times New Roman"/>
          <w:sz w:val="24"/>
          <w:szCs w:val="24"/>
          <w:lang w:eastAsia="pt-BR"/>
        </w:rPr>
      </w:pP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O presente trabalho é um estudo de corte transversal, destinado a determinar o padrão de mortalidade de portadores de doença renal crônica, submetidos à hemodiálise frequente, e verificar possíveis relações do padrão de mortalidade com fatores demográficos, clínicos e laboratoriais registrados nos prontuários desse tipo de paciente. O trabalho foi realizado mediante levantamento de informações contidas nos prontuários dos pacientes atendidos no Centro de Hemodiálise de Barbacena Pró-Renal no período entre 01 de janeiro de 2006 e 31 de maio de 2012.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O estudo consistiu no exame dos registros dos pacientes atendidos no serviço no período mencionado e na extração de informações relacionadas às variáveis de estudo com objetivo de estabelecer as relações entre a sobrevida e as variáveis em questão.</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As informações do estudo foram retiradas de prontuários eletrônicos do serviço. Foi utilizada a totalidade dos prontuários (277) dos pacientes submetidos à hemodiálise no serviço, no período mencionado. Destes foram excluídos do estudo os pacientes com insuficiência renal aguda, os submetidos à diálise por período inferior a 03 meses e os submetidos à diálise peritoneal, que totalizavam 54 pacientes. Durante o estudo, foram excluídos outros 21 pacientes por não apresentarem dados suficientes de exames em seus prontuários. De tal forma, o estudo foi realizado com uma amostra final de 202 pacientes. </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lastRenderedPageBreak/>
        <w:t>O estudo foi aprovado pelo Comitê de Ética em Pesquisa da Universidade Presidente Antônio Carlos sob o número de protocolo 866.</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A mortalidade dos pacientes foi determinada pelo cálculo do percentual de óbitos detectados no estudo e as relações da mortalidade com as demais variáveis foram determinadas pela comparação das características dos que faleceram com as características dos sobreviventes. A evolução da mortalidade com o tempo foi determinada pela construção da curva de sobrevida dos participantes do estudo.</w:t>
      </w:r>
    </w:p>
    <w:p w:rsidR="00B206A4" w:rsidRPr="00DC3FF0" w:rsidRDefault="00B206A4" w:rsidP="00076677">
      <w:pPr>
        <w:spacing w:after="0" w:line="480" w:lineRule="auto"/>
        <w:ind w:firstLine="357"/>
        <w:jc w:val="both"/>
        <w:rPr>
          <w:rFonts w:ascii="Times New Roman" w:hAnsi="Times New Roman"/>
          <w:sz w:val="24"/>
          <w:szCs w:val="24"/>
          <w:lang w:eastAsia="pt-BR"/>
        </w:rPr>
      </w:pPr>
      <w:r w:rsidRPr="00DC3FF0">
        <w:rPr>
          <w:rFonts w:ascii="Times New Roman" w:hAnsi="Times New Roman"/>
          <w:sz w:val="24"/>
          <w:szCs w:val="24"/>
          <w:lang w:eastAsia="pt-BR"/>
        </w:rPr>
        <w:t xml:space="preserve">A análise dos dados foi feita em microcomputador, com recursos de processamento estatístico do “software” (STATA 9.2). Foram construídas as distribuições de frequência e calculadas as médias, desvios padrões e percentagens indicadas para cada variável. Comparações de subgrupos da amostra foram efetuadas em tabelas de contingência tipo </w:t>
      </w:r>
      <w:proofErr w:type="spellStart"/>
      <w:r w:rsidRPr="00DC3FF0">
        <w:rPr>
          <w:rFonts w:ascii="Times New Roman" w:hAnsi="Times New Roman"/>
          <w:sz w:val="24"/>
          <w:szCs w:val="24"/>
          <w:lang w:eastAsia="pt-BR"/>
        </w:rPr>
        <w:t>RxC</w:t>
      </w:r>
      <w:proofErr w:type="spellEnd"/>
      <w:r w:rsidRPr="00DC3FF0">
        <w:rPr>
          <w:rFonts w:ascii="Times New Roman" w:hAnsi="Times New Roman"/>
          <w:sz w:val="24"/>
          <w:szCs w:val="24"/>
          <w:lang w:eastAsia="pt-BR"/>
        </w:rPr>
        <w:t xml:space="preserve"> ou ANOVA. O teste do </w:t>
      </w:r>
      <w:proofErr w:type="spellStart"/>
      <w:r w:rsidRPr="00DC3FF0">
        <w:rPr>
          <w:rFonts w:ascii="Times New Roman" w:hAnsi="Times New Roman"/>
          <w:sz w:val="24"/>
          <w:szCs w:val="24"/>
          <w:lang w:eastAsia="pt-BR"/>
        </w:rPr>
        <w:t>qui-quadrado,o</w:t>
      </w:r>
      <w:proofErr w:type="spellEnd"/>
      <w:r w:rsidRPr="00DC3FF0">
        <w:rPr>
          <w:rFonts w:ascii="Times New Roman" w:hAnsi="Times New Roman"/>
          <w:sz w:val="24"/>
          <w:szCs w:val="24"/>
          <w:lang w:eastAsia="pt-BR"/>
        </w:rPr>
        <w:t xml:space="preserve"> teste exato de Fischer e o teste de Fischer para tabelas de ANOVA foram utilizados na aferição do significado estatístico das diferenças obtidas nas comparações. O nível de significância de 5% foi o adotado para análise.</w:t>
      </w:r>
    </w:p>
    <w:p w:rsidR="00B206A4" w:rsidRPr="00DC3FF0" w:rsidRDefault="00B206A4" w:rsidP="00076677">
      <w:pPr>
        <w:spacing w:after="0" w:line="480" w:lineRule="auto"/>
        <w:ind w:firstLine="357"/>
        <w:jc w:val="both"/>
        <w:rPr>
          <w:rFonts w:ascii="Times New Roman" w:hAnsi="Times New Roman"/>
          <w:sz w:val="24"/>
          <w:szCs w:val="24"/>
          <w:lang w:eastAsia="pt-BR"/>
        </w:rPr>
      </w:pPr>
    </w:p>
    <w:p w:rsidR="00B206A4" w:rsidRPr="00DC3FF0" w:rsidRDefault="00B206A4" w:rsidP="00076677">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RESULTADOS </w:t>
      </w:r>
    </w:p>
    <w:p w:rsidR="00B206A4" w:rsidRPr="00DC3FF0" w:rsidRDefault="00B206A4" w:rsidP="00076677">
      <w:pPr>
        <w:spacing w:after="0" w:line="480" w:lineRule="auto"/>
        <w:ind w:firstLine="709"/>
        <w:jc w:val="both"/>
        <w:rPr>
          <w:rFonts w:ascii="Times New Roman" w:hAnsi="Times New Roman"/>
          <w:sz w:val="24"/>
          <w:szCs w:val="24"/>
        </w:rPr>
      </w:pP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Foram estudados no presente trabalho os prontuários de 202 pacientes que iniciaram o tratamento dialítico da insuficiência renal crônica (IRC) no ano de 2006 na Pró – Renal de Barbacena – MG. A média da idade dos pacientes é de 57±15,4, sendo que 99 (48,2%) pacientes são do sexo feminino e 103 (50,9%) são do sexo masculino. Cento e trinta e três pacientes (64,8 %) eram casados, 38 (18,5%) eram solteiros e 31 (15,3%) mantinham um estado civil diverso. </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se tratando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que o indivíduo antes de desenvolver IRC há algumas cujas presenças devem ser analisadas, como o diabetes </w:t>
      </w:r>
      <w:proofErr w:type="spellStart"/>
      <w:r w:rsidRPr="00DC3FF0">
        <w:rPr>
          <w:rFonts w:ascii="Times New Roman" w:hAnsi="Times New Roman"/>
          <w:sz w:val="24"/>
          <w:szCs w:val="24"/>
        </w:rPr>
        <w:t>melitus</w:t>
      </w:r>
      <w:proofErr w:type="spellEnd"/>
      <w:r w:rsidRPr="00DC3FF0">
        <w:rPr>
          <w:rFonts w:ascii="Times New Roman" w:hAnsi="Times New Roman"/>
          <w:sz w:val="24"/>
          <w:szCs w:val="24"/>
        </w:rPr>
        <w:t xml:space="preserve"> (DM), a hipertensão arterial </w:t>
      </w:r>
      <w:r w:rsidRPr="00DC3FF0">
        <w:rPr>
          <w:rFonts w:ascii="Times New Roman" w:hAnsi="Times New Roman"/>
          <w:sz w:val="24"/>
          <w:szCs w:val="24"/>
        </w:rPr>
        <w:lastRenderedPageBreak/>
        <w:t>sistêmica (HAS) e cardiopatias no geral. Cento e onze (55,5%) não tinham DM antes do desenvolvimento da IRC, ao passo em que 89 (44,5%) tinham; 53 pacientes (26,7%) não eram hipertensos e 145 (73,2%) eram; 169 pacientes (85,3) não eram cardiopatas, porém 29 (14,6%) eram.</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Dentre as diversas causas para a IRC, a </w:t>
      </w:r>
      <w:proofErr w:type="spellStart"/>
      <w:r w:rsidRPr="00DC3FF0">
        <w:rPr>
          <w:rFonts w:ascii="Times New Roman" w:hAnsi="Times New Roman"/>
          <w:sz w:val="24"/>
          <w:szCs w:val="24"/>
        </w:rPr>
        <w:t>nefropatia</w:t>
      </w:r>
      <w:proofErr w:type="spellEnd"/>
      <w:r w:rsidRPr="00DC3FF0">
        <w:rPr>
          <w:rFonts w:ascii="Times New Roman" w:hAnsi="Times New Roman"/>
          <w:sz w:val="24"/>
          <w:szCs w:val="24"/>
        </w:rPr>
        <w:t xml:space="preserve"> diabética versou como causa em 82 pacientes (40.5%), a </w:t>
      </w:r>
      <w:proofErr w:type="spellStart"/>
      <w:r w:rsidRPr="00DC3FF0">
        <w:rPr>
          <w:rFonts w:ascii="Times New Roman" w:hAnsi="Times New Roman"/>
          <w:sz w:val="24"/>
          <w:szCs w:val="24"/>
        </w:rPr>
        <w:t>nefroesclerose</w:t>
      </w:r>
      <w:proofErr w:type="spellEnd"/>
      <w:r w:rsidRPr="00DC3FF0">
        <w:rPr>
          <w:rFonts w:ascii="Times New Roman" w:hAnsi="Times New Roman"/>
          <w:sz w:val="24"/>
          <w:szCs w:val="24"/>
        </w:rPr>
        <w:t xml:space="preserve"> hipertensiva em 57 pacientes (28.2%) e 63 pacientes (31,1%) tiveram outras causas, como </w:t>
      </w:r>
      <w:proofErr w:type="spellStart"/>
      <w:r w:rsidRPr="00DC3FF0">
        <w:rPr>
          <w:rFonts w:ascii="Times New Roman" w:hAnsi="Times New Roman"/>
          <w:sz w:val="24"/>
          <w:szCs w:val="24"/>
        </w:rPr>
        <w:t>glomerulonefrite</w:t>
      </w:r>
      <w:proofErr w:type="spellEnd"/>
      <w:r w:rsidRPr="00DC3FF0">
        <w:rPr>
          <w:rFonts w:ascii="Times New Roman" w:hAnsi="Times New Roman"/>
          <w:sz w:val="24"/>
          <w:szCs w:val="24"/>
        </w:rPr>
        <w:t xml:space="preserve"> crônica, doença renal policística do adulto, </w:t>
      </w:r>
      <w:proofErr w:type="spellStart"/>
      <w:r w:rsidRPr="00DC3FF0">
        <w:rPr>
          <w:rFonts w:ascii="Times New Roman" w:hAnsi="Times New Roman"/>
          <w:sz w:val="24"/>
          <w:szCs w:val="24"/>
        </w:rPr>
        <w:t>uropatia</w:t>
      </w:r>
      <w:proofErr w:type="spellEnd"/>
      <w:r w:rsidRPr="00DC3FF0">
        <w:rPr>
          <w:rFonts w:ascii="Times New Roman" w:hAnsi="Times New Roman"/>
          <w:sz w:val="24"/>
          <w:szCs w:val="24"/>
        </w:rPr>
        <w:t xml:space="preserve"> obstrutiva crônica e pielonefrite crônica. Em se tratando da situação dos pacientes, foi verificado que 67 (32,7%) faleceram, 119 (58,0%) ainda estavam vivos em 31 de maio de 2012 e 16 (7,9%) não tinham a sua situação conhecida na data mencionada (perdidos ou transferidos do serviço). Dentre os pacientes que faleceram (67), foi verificada qual era a causa de óbito mais frequente, sendo ela as doenças cardiovasculares que resultaram em 21 mortes (31,4%), seguida por outras causas (13 pacientes – 19,4%) e pelas causas infecciosas (10 pacientes – 14,9%).</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Entre os pacientes incluídos no estudo 47 (23,3%) participaram por apenas um ano de estudo, 42 (20,8%) foram acompanhados até dois anos, 31 (15,4%) permaneceram três anos, 37 (18,3%) foram acompanhados por quatro anos, 20 (9,9%) foram acompanhados por cinco anos, 19 (9,4%) foram acompanhados por seis anos e 6 (3,3%) foram acompanhados por seis anos e meio. Quando se leva em conta apenas os pacientes que foram observados durante todo o tempo detectou-se que a taxa de óbito foi igual a 36,0% e a taxa bruta de sobreviventes foi igual a 64,0%.</w:t>
      </w:r>
    </w:p>
    <w:p w:rsidR="00B206A4" w:rsidRPr="00DC3FF0" w:rsidRDefault="00B206A4" w:rsidP="00076677">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Na Tabela 1 são apresentadas as frequências de várias características clínicas e epidemiológicas dos pacientes, discriminadas entre os que faleceram e os que sobreviveram até o final do período de estudo. São apresentados também os resultados dos testes de </w:t>
      </w:r>
      <w:r w:rsidRPr="00DC3FF0">
        <w:rPr>
          <w:rFonts w:ascii="Times New Roman" w:hAnsi="Times New Roman"/>
          <w:sz w:val="24"/>
          <w:szCs w:val="24"/>
        </w:rPr>
        <w:lastRenderedPageBreak/>
        <w:t xml:space="preserve">significância estatística aplicados nas comparações dos percentuais exibidos na tabela, ou seja, os resultados do teste do </w:t>
      </w:r>
      <w:proofErr w:type="spellStart"/>
      <w:r w:rsidRPr="00DC3FF0">
        <w:rPr>
          <w:rFonts w:ascii="Times New Roman" w:hAnsi="Times New Roman"/>
          <w:sz w:val="24"/>
          <w:szCs w:val="24"/>
        </w:rPr>
        <w:t>qui</w:t>
      </w:r>
      <w:proofErr w:type="spellEnd"/>
      <w:r w:rsidRPr="00DC3FF0">
        <w:rPr>
          <w:rFonts w:ascii="Times New Roman" w:hAnsi="Times New Roman"/>
          <w:sz w:val="24"/>
          <w:szCs w:val="24"/>
        </w:rPr>
        <w:t xml:space="preserve">-quadrado ou Fisher e os respectivos valores de P. </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Tabela 1:Frequências das características clínicas, epidemiológicas e laboratoriais de pacientes portadores de insuficiência renal que sobreviveram ou faleceram entre janeiro de 2006 e maio de 2012, após hemodiálise no serviço.</w:t>
      </w:r>
    </w:p>
    <w:p w:rsidR="00B206A4" w:rsidRPr="00DC3FF0" w:rsidRDefault="00B206A4" w:rsidP="00076677">
      <w:pPr>
        <w:spacing w:after="0" w:line="240" w:lineRule="auto"/>
        <w:jc w:val="both"/>
        <w:rPr>
          <w:rFonts w:ascii="Times New Roman" w:hAnsi="Times New Roman"/>
          <w:sz w:val="24"/>
          <w:szCs w:val="24"/>
        </w:rPr>
      </w:pPr>
    </w:p>
    <w:tbl>
      <w:tblPr>
        <w:tblW w:w="0" w:type="auto"/>
        <w:tblBorders>
          <w:top w:val="single" w:sz="4" w:space="0" w:color="000000"/>
          <w:bottom w:val="single" w:sz="4" w:space="0" w:color="000000"/>
          <w:insideV w:val="single" w:sz="4" w:space="0" w:color="000000"/>
        </w:tblBorders>
        <w:tblLook w:val="00A0" w:firstRow="1" w:lastRow="0" w:firstColumn="1" w:lastColumn="0" w:noHBand="0" w:noVBand="0"/>
      </w:tblPr>
      <w:tblGrid>
        <w:gridCol w:w="3119"/>
        <w:gridCol w:w="907"/>
        <w:gridCol w:w="907"/>
        <w:gridCol w:w="907"/>
        <w:gridCol w:w="907"/>
        <w:gridCol w:w="907"/>
        <w:gridCol w:w="818"/>
      </w:tblGrid>
      <w:tr w:rsidR="00B206A4" w:rsidRPr="00D95FEB" w:rsidTr="0028683C">
        <w:tc>
          <w:tcPr>
            <w:tcW w:w="3119" w:type="dxa"/>
            <w:tcBorders>
              <w:top w:val="single" w:sz="4" w:space="0" w:color="000000"/>
            </w:tcBorders>
          </w:tcPr>
          <w:p w:rsidR="00B206A4" w:rsidRPr="00D95FEB" w:rsidRDefault="00B206A4" w:rsidP="0028683C">
            <w:pPr>
              <w:spacing w:after="0" w:line="240" w:lineRule="auto"/>
              <w:rPr>
                <w:rFonts w:ascii="Times New Roman" w:hAnsi="Times New Roman"/>
                <w:b/>
                <w:sz w:val="24"/>
                <w:szCs w:val="24"/>
              </w:rPr>
            </w:pPr>
            <w:r w:rsidRPr="00D95FEB">
              <w:rPr>
                <w:rFonts w:ascii="Times New Roman" w:hAnsi="Times New Roman"/>
                <w:b/>
                <w:sz w:val="24"/>
                <w:szCs w:val="24"/>
              </w:rPr>
              <w:t>Características Comparadas</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Sobrevivente</w:t>
            </w:r>
          </w:p>
        </w:tc>
        <w:tc>
          <w:tcPr>
            <w:tcW w:w="1814" w:type="dxa"/>
            <w:gridSpan w:val="2"/>
            <w:tcBorders>
              <w:top w:val="single" w:sz="4" w:space="0" w:color="000000"/>
            </w:tcBorders>
            <w:vAlign w:val="center"/>
          </w:tcPr>
          <w:p w:rsidR="00B206A4" w:rsidRPr="00D95FEB" w:rsidRDefault="00B206A4" w:rsidP="0028683C">
            <w:pPr>
              <w:spacing w:after="0" w:line="240" w:lineRule="auto"/>
              <w:jc w:val="center"/>
              <w:rPr>
                <w:rFonts w:ascii="Times New Roman" w:hAnsi="Times New Roman"/>
                <w:b/>
                <w:sz w:val="24"/>
                <w:szCs w:val="24"/>
              </w:rPr>
            </w:pPr>
            <w:r w:rsidRPr="00D95FEB">
              <w:rPr>
                <w:rFonts w:ascii="Times New Roman" w:hAnsi="Times New Roman"/>
                <w:b/>
                <w:sz w:val="24"/>
                <w:szCs w:val="24"/>
              </w:rPr>
              <w:t>Falecido</w:t>
            </w:r>
          </w:p>
        </w:tc>
        <w:tc>
          <w:tcPr>
            <w:tcW w:w="907"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X2/F</w:t>
            </w:r>
          </w:p>
        </w:tc>
        <w:tc>
          <w:tcPr>
            <w:tcW w:w="818" w:type="dxa"/>
            <w:tcBorders>
              <w:top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P</w:t>
            </w:r>
          </w:p>
        </w:tc>
      </w:tr>
      <w:tr w:rsidR="00B206A4" w:rsidRPr="00D95FEB" w:rsidTr="0028683C">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b/>
                <w:sz w:val="24"/>
                <w:szCs w:val="24"/>
              </w:rPr>
            </w:pP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N</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r w:rsidRPr="00D95FEB">
              <w:rPr>
                <w:rFonts w:ascii="Times New Roman" w:hAnsi="Times New Roman"/>
                <w:b/>
                <w:sz w:val="24"/>
                <w:szCs w:val="24"/>
              </w:rPr>
              <w:t>%</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b/>
                <w:sz w:val="24"/>
                <w:szCs w:val="24"/>
              </w:rPr>
            </w:pPr>
          </w:p>
        </w:tc>
      </w:tr>
      <w:tr w:rsidR="00B206A4" w:rsidRPr="00D95FEB" w:rsidTr="0028683C">
        <w:tc>
          <w:tcPr>
            <w:tcW w:w="3119" w:type="dxa"/>
            <w:tcBorders>
              <w:top w:val="single" w:sz="4" w:space="0" w:color="000000"/>
              <w:bottom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Grupo Etário (Anos)</w:t>
            </w: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tcBorders>
              <w:top w:val="single" w:sz="4" w:space="0" w:color="000000"/>
              <w:bottom w:val="nil"/>
            </w:tcBorders>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Borders>
              <w:top w:val="nil"/>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 18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12,01</w:t>
            </w:r>
          </w:p>
        </w:tc>
        <w:tc>
          <w:tcPr>
            <w:tcW w:w="818" w:type="dxa"/>
            <w:tcBorders>
              <w:top w:val="nil"/>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18 – 60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60 – 87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Gênero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Feminino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3,03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0,081</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Masculino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Profissões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Aposentado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0,777</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Lar/</w:t>
            </w:r>
            <w:proofErr w:type="spellStart"/>
            <w:r w:rsidRPr="00D95FEB">
              <w:rPr>
                <w:rFonts w:ascii="Times New Roman" w:hAnsi="Times New Roman"/>
                <w:sz w:val="24"/>
                <w:szCs w:val="24"/>
              </w:rPr>
              <w:t>Domest</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Estado Civil</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Casado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0,874</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Solteiro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Cor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Faiodermo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21,2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0,330</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Leucodermo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w:t>
            </w:r>
            <w:proofErr w:type="spellStart"/>
            <w:r w:rsidRPr="00D95FEB">
              <w:rPr>
                <w:rFonts w:ascii="Times New Roman" w:hAnsi="Times New Roman"/>
                <w:sz w:val="24"/>
                <w:szCs w:val="24"/>
              </w:rPr>
              <w:t>Melanodermo</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da IR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Diabética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0,375</w:t>
            </w: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 Hipertensiva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DM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0,176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4,81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0,028</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Cardiopatia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Não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3,37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0,066</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Sim</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Causa óbito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Cardiovascular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5,17</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0,522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Cerebrovascular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Edema Pulmonar</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Ignorada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Infecciosa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lastRenderedPageBreak/>
              <w:t xml:space="preserve">   Neoplasia</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Outras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Albumina 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&lt;3.5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12,0</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 – &lt; 4.5</w:t>
            </w:r>
          </w:p>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4.5 – 7.1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85</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74,0</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34</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50,7</w:t>
            </w:r>
          </w:p>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proofErr w:type="spellStart"/>
            <w:r w:rsidRPr="00D95FEB">
              <w:rPr>
                <w:rFonts w:ascii="Times New Roman" w:hAnsi="Times New Roman"/>
                <w:sz w:val="24"/>
                <w:szCs w:val="24"/>
              </w:rPr>
              <w:t>Ferritina</w:t>
            </w:r>
            <w:proofErr w:type="spellEnd"/>
            <w:r w:rsidRPr="00D95FEB">
              <w:rPr>
                <w:rFonts w:ascii="Times New Roman" w:hAnsi="Times New Roman"/>
                <w:sz w:val="24"/>
                <w:szCs w:val="24"/>
              </w:rPr>
              <w:t xml:space="preserve"> </w:t>
            </w:r>
            <w:proofErr w:type="spellStart"/>
            <w:r w:rsidRPr="00D95FEB">
              <w:rPr>
                <w:rFonts w:ascii="Times New Roman" w:hAnsi="Times New Roman"/>
                <w:sz w:val="24"/>
                <w:szCs w:val="24"/>
              </w:rPr>
              <w:t>ng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 200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54,4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8,82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200 – &lt; 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44,7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&lt; 15000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Hemoglobina 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2.0 – &lt; 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23,1</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8,71</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0,013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7.0 – &lt; 12.0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89,7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12.0 – &lt; 16.0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Hematócrito%</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03.0 - 26.9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47,0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3,53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27.0 - 40.0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38,4</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proofErr w:type="spellStart"/>
            <w:r w:rsidRPr="00D95FEB">
              <w:rPr>
                <w:rFonts w:ascii="Times New Roman" w:hAnsi="Times New Roman"/>
                <w:sz w:val="24"/>
                <w:szCs w:val="24"/>
              </w:rPr>
              <w:t>KtV</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0.0 – &lt; 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10,8</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0,004</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 –&lt; 1.3 </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27,9</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1.3 – 4.5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81,7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60,7</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Leucócitos</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3500 - &lt;4000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3,12</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0,210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4000 - &lt; 10000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82,0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10000 -106000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16,0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PTH </w:t>
            </w:r>
            <w:proofErr w:type="spellStart"/>
            <w:r w:rsidRPr="00D95FEB">
              <w:rPr>
                <w:rFonts w:ascii="Times New Roman" w:hAnsi="Times New Roman"/>
                <w:sz w:val="24"/>
                <w:szCs w:val="24"/>
              </w:rPr>
              <w:t>pg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30 - &lt;400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52,2</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73,2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6,83</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0,033</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400 - &lt;800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29</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14,3</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800 – 4000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12,5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Fósforo mg/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 –&lt; 5.5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70,6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83,6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5,55</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0,062</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 – &lt; 6.5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22,7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6.5 – 10.0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6,7</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7,5</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Cálcio mg/</w:t>
            </w:r>
            <w:proofErr w:type="spellStart"/>
            <w:r w:rsidRPr="00D95FEB">
              <w:rPr>
                <w:rFonts w:ascii="Times New Roman" w:hAnsi="Times New Roman"/>
                <w:sz w:val="24"/>
                <w:szCs w:val="24"/>
              </w:rPr>
              <w:t>dL</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04.5 - &lt;09.5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87,4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43</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64,2</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15,6</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0,000</w:t>
            </w: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09.5 - &lt;10.5</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11,8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24</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35,8</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10.5 - 11.0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0,0</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Produto </w:t>
            </w:r>
            <w:proofErr w:type="spellStart"/>
            <w:r w:rsidRPr="00D95FEB">
              <w:rPr>
                <w:rFonts w:ascii="Times New Roman" w:hAnsi="Times New Roman"/>
                <w:sz w:val="24"/>
                <w:szCs w:val="24"/>
              </w:rPr>
              <w:t>CaxP</w:t>
            </w:r>
            <w:proofErr w:type="spellEnd"/>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p>
        </w:tc>
      </w:tr>
      <w:tr w:rsidR="00B206A4" w:rsidRPr="00D95FEB" w:rsidTr="0028683C">
        <w:tblPrEx>
          <w:tblBorders>
            <w:top w:val="none" w:sz="0" w:space="0" w:color="auto"/>
          </w:tblBorders>
        </w:tblPrEx>
        <w:tc>
          <w:tcPr>
            <w:tcW w:w="3119" w:type="dxa"/>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17.5 –&lt; 55.0</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101</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84,8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58</w:t>
            </w:r>
          </w:p>
        </w:tc>
        <w:tc>
          <w:tcPr>
            <w:tcW w:w="907"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86,6</w:t>
            </w:r>
          </w:p>
        </w:tc>
        <w:tc>
          <w:tcPr>
            <w:tcW w:w="907" w:type="dxa"/>
            <w:vAlign w:val="center"/>
          </w:tcPr>
          <w:p w:rsidR="00B206A4" w:rsidRPr="00D95FEB" w:rsidRDefault="00B206A4" w:rsidP="0028683C">
            <w:pPr>
              <w:spacing w:after="0" w:line="240" w:lineRule="auto"/>
              <w:jc w:val="center"/>
              <w:rPr>
                <w:rFonts w:ascii="Times New Roman" w:hAnsi="Times New Roman"/>
                <w:sz w:val="24"/>
                <w:szCs w:val="24"/>
              </w:rPr>
            </w:pPr>
            <w:r w:rsidRPr="00D95FEB">
              <w:rPr>
                <w:rFonts w:ascii="Times New Roman" w:hAnsi="Times New Roman"/>
                <w:sz w:val="24"/>
                <w:szCs w:val="24"/>
              </w:rPr>
              <w:t>0,09</w:t>
            </w:r>
          </w:p>
        </w:tc>
        <w:tc>
          <w:tcPr>
            <w:tcW w:w="818" w:type="dxa"/>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0,735</w:t>
            </w:r>
          </w:p>
        </w:tc>
      </w:tr>
      <w:tr w:rsidR="00B206A4" w:rsidRPr="00D95FEB" w:rsidTr="0028683C">
        <w:tblPrEx>
          <w:tblBorders>
            <w:top w:val="none" w:sz="0" w:space="0" w:color="auto"/>
          </w:tblBorders>
        </w:tblPrEx>
        <w:tc>
          <w:tcPr>
            <w:tcW w:w="3119" w:type="dxa"/>
            <w:tcBorders>
              <w:bottom w:val="single" w:sz="4" w:space="0" w:color="000000"/>
            </w:tcBorders>
          </w:tcPr>
          <w:p w:rsidR="00B206A4" w:rsidRPr="00D95FEB" w:rsidRDefault="00B206A4" w:rsidP="0028683C">
            <w:pPr>
              <w:spacing w:after="0" w:line="240" w:lineRule="auto"/>
              <w:rPr>
                <w:rFonts w:ascii="Times New Roman" w:hAnsi="Times New Roman"/>
                <w:sz w:val="24"/>
                <w:szCs w:val="24"/>
              </w:rPr>
            </w:pPr>
            <w:r w:rsidRPr="00D95FEB">
              <w:rPr>
                <w:rFonts w:ascii="Times New Roman" w:hAnsi="Times New Roman"/>
                <w:sz w:val="24"/>
                <w:szCs w:val="24"/>
              </w:rPr>
              <w:t xml:space="preserve">   55.0 –78.0</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18</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15,1</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9</w:t>
            </w:r>
          </w:p>
        </w:tc>
        <w:tc>
          <w:tcPr>
            <w:tcW w:w="907"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r w:rsidRPr="00D95FEB">
              <w:rPr>
                <w:rFonts w:ascii="Times New Roman" w:hAnsi="Times New Roman"/>
                <w:sz w:val="24"/>
                <w:szCs w:val="24"/>
              </w:rPr>
              <w:t>13,4</w:t>
            </w:r>
          </w:p>
        </w:tc>
        <w:tc>
          <w:tcPr>
            <w:tcW w:w="907" w:type="dxa"/>
            <w:tcBorders>
              <w:bottom w:val="single" w:sz="4" w:space="0" w:color="000000"/>
            </w:tcBorders>
            <w:vAlign w:val="center"/>
          </w:tcPr>
          <w:p w:rsidR="00B206A4" w:rsidRPr="00D95FEB" w:rsidRDefault="00B206A4" w:rsidP="0028683C">
            <w:pPr>
              <w:spacing w:after="0" w:line="240" w:lineRule="auto"/>
              <w:jc w:val="center"/>
              <w:rPr>
                <w:rFonts w:ascii="Times New Roman" w:hAnsi="Times New Roman"/>
                <w:sz w:val="24"/>
                <w:szCs w:val="24"/>
              </w:rPr>
            </w:pPr>
          </w:p>
        </w:tc>
        <w:tc>
          <w:tcPr>
            <w:tcW w:w="818" w:type="dxa"/>
            <w:tcBorders>
              <w:bottom w:val="single" w:sz="4" w:space="0" w:color="000000"/>
            </w:tcBorders>
            <w:vAlign w:val="center"/>
          </w:tcPr>
          <w:p w:rsidR="00B206A4" w:rsidRPr="00D95FEB" w:rsidRDefault="00B206A4" w:rsidP="0028683C">
            <w:pPr>
              <w:spacing w:after="0" w:line="240" w:lineRule="auto"/>
              <w:jc w:val="right"/>
              <w:rPr>
                <w:rFonts w:ascii="Times New Roman" w:hAnsi="Times New Roman"/>
                <w:sz w:val="24"/>
                <w:szCs w:val="24"/>
              </w:rPr>
            </w:pPr>
          </w:p>
        </w:tc>
      </w:tr>
    </w:tbl>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076677">
      <w:pPr>
        <w:spacing w:line="480" w:lineRule="auto"/>
        <w:rPr>
          <w:rFonts w:ascii="Times New Roman" w:hAnsi="Times New Roman"/>
          <w:sz w:val="24"/>
          <w:szCs w:val="24"/>
        </w:rPr>
      </w:pPr>
      <w:r w:rsidRPr="00DC3FF0">
        <w:rPr>
          <w:rFonts w:ascii="Times New Roman" w:hAnsi="Times New Roman"/>
          <w:sz w:val="24"/>
          <w:szCs w:val="24"/>
        </w:rPr>
        <w:t xml:space="preserve">Na tabela 2 estão apresentados os dados de média e desvio padrão dos exames laboratoriais divididos entre os grupos de sobreviventes e falecidos     </w:t>
      </w:r>
    </w:p>
    <w:p w:rsidR="00B206A4" w:rsidRPr="00DC3FF0" w:rsidRDefault="00B206A4" w:rsidP="00076677">
      <w:pPr>
        <w:spacing w:line="240" w:lineRule="auto"/>
        <w:rPr>
          <w:rFonts w:ascii="Times New Roman" w:hAnsi="Times New Roman"/>
          <w:sz w:val="24"/>
          <w:szCs w:val="24"/>
        </w:rPr>
      </w:pPr>
      <w:r w:rsidRPr="00DC3FF0">
        <w:rPr>
          <w:rFonts w:ascii="Times New Roman" w:hAnsi="Times New Roman"/>
          <w:sz w:val="24"/>
          <w:szCs w:val="24"/>
        </w:rPr>
        <w:t>Tabela2: Média de idade e média das variáveis laboratoriais de pacientes portadores de insuficiência renal que sobreviveram ou faleceram entre janeiro de 2006 e maio de 2012, após hemodiálise no serviço.</w:t>
      </w:r>
    </w:p>
    <w:tbl>
      <w:tblPr>
        <w:tblW w:w="0" w:type="auto"/>
        <w:tblBorders>
          <w:top w:val="single" w:sz="4" w:space="0" w:color="000000"/>
          <w:bottom w:val="single" w:sz="4" w:space="0" w:color="000000"/>
          <w:insideV w:val="single" w:sz="4" w:space="0" w:color="000000"/>
        </w:tblBorders>
        <w:tblLook w:val="00A0" w:firstRow="1" w:lastRow="0" w:firstColumn="1" w:lastColumn="0" w:noHBand="0" w:noVBand="0"/>
      </w:tblPr>
      <w:tblGrid>
        <w:gridCol w:w="2660"/>
        <w:gridCol w:w="2209"/>
        <w:gridCol w:w="2209"/>
        <w:gridCol w:w="2209"/>
      </w:tblGrid>
      <w:tr w:rsidR="00B206A4" w:rsidRPr="00D95FEB" w:rsidTr="007C2529">
        <w:tc>
          <w:tcPr>
            <w:tcW w:w="2660"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lastRenderedPageBreak/>
              <w:t>Variáveis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 xml:space="preserve">Sobrevivente </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Falecidos</w:t>
            </w:r>
          </w:p>
        </w:tc>
        <w:tc>
          <w:tcPr>
            <w:tcW w:w="2209" w:type="dxa"/>
            <w:tcBorders>
              <w:top w:val="single" w:sz="4" w:space="0" w:color="000000"/>
            </w:tcBorders>
          </w:tcPr>
          <w:p w:rsidR="00B206A4" w:rsidRPr="00D95FEB" w:rsidRDefault="00B206A4" w:rsidP="00751EC4">
            <w:pPr>
              <w:spacing w:after="0" w:line="240" w:lineRule="auto"/>
              <w:rPr>
                <w:rFonts w:ascii="Times New Roman" w:hAnsi="Times New Roman"/>
                <w:b/>
                <w:sz w:val="24"/>
                <w:szCs w:val="24"/>
              </w:rPr>
            </w:pPr>
            <w:r w:rsidRPr="00D95FEB">
              <w:rPr>
                <w:rFonts w:ascii="Times New Roman" w:hAnsi="Times New Roman"/>
                <w:b/>
                <w:sz w:val="24"/>
                <w:szCs w:val="24"/>
              </w:rPr>
              <w:t>P</w:t>
            </w:r>
          </w:p>
        </w:tc>
      </w:tr>
      <w:tr w:rsidR="00B206A4" w:rsidRPr="00D95FEB" w:rsidTr="007C2529">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b/>
                <w:sz w:val="24"/>
                <w:szCs w:val="24"/>
              </w:rPr>
            </w:pPr>
          </w:p>
        </w:tc>
      </w:tr>
      <w:tr w:rsidR="00B206A4" w:rsidRPr="00D95FEB" w:rsidTr="007C2529">
        <w:tc>
          <w:tcPr>
            <w:tcW w:w="2660"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Idade (Anos)</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55,3±15,0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64,2±13,0</w:t>
            </w:r>
          </w:p>
        </w:tc>
        <w:tc>
          <w:tcPr>
            <w:tcW w:w="2209" w:type="dxa"/>
            <w:tcBorders>
              <w:top w:val="single" w:sz="4" w:space="0" w:color="000000"/>
              <w:bottom w:val="nil"/>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Albumina 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3,7±0,8</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0,464</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proofErr w:type="spellStart"/>
            <w:r w:rsidRPr="00D95FEB">
              <w:rPr>
                <w:rFonts w:ascii="Times New Roman" w:hAnsi="Times New Roman"/>
                <w:sz w:val="24"/>
                <w:szCs w:val="24"/>
              </w:rPr>
              <w:t>Ferritina</w:t>
            </w:r>
            <w:proofErr w:type="spellEnd"/>
            <w:r w:rsidRPr="00D95FEB">
              <w:rPr>
                <w:rFonts w:ascii="Times New Roman" w:hAnsi="Times New Roman"/>
                <w:sz w:val="24"/>
                <w:szCs w:val="24"/>
              </w:rPr>
              <w:t xml:space="preserve"> </w:t>
            </w:r>
            <w:proofErr w:type="spellStart"/>
            <w:r w:rsidRPr="00D95FEB">
              <w:rPr>
                <w:rFonts w:ascii="Times New Roman" w:hAnsi="Times New Roman"/>
                <w:sz w:val="24"/>
                <w:szCs w:val="24"/>
              </w:rPr>
              <w:t>ng</w:t>
            </w:r>
            <w:proofErr w:type="spellEnd"/>
            <w:r w:rsidRPr="00D95FEB">
              <w:rPr>
                <w:rFonts w:ascii="Times New Roman" w:hAnsi="Times New Roman"/>
                <w:sz w:val="24"/>
                <w:szCs w:val="24"/>
              </w:rPr>
              <w:t>/</w:t>
            </w:r>
            <w:proofErr w:type="spellStart"/>
            <w:r w:rsidRPr="00D95FEB">
              <w:rPr>
                <w:rFonts w:ascii="Times New Roman" w:hAnsi="Times New Roman"/>
                <w:sz w:val="24"/>
                <w:szCs w:val="24"/>
              </w:rPr>
              <w:t>mL</w:t>
            </w:r>
            <w:proofErr w:type="spellEnd"/>
          </w:p>
        </w:tc>
        <w:tc>
          <w:tcPr>
            <w:tcW w:w="2209" w:type="dxa"/>
          </w:tcPr>
          <w:p w:rsidR="00B206A4" w:rsidRPr="00D95FEB" w:rsidRDefault="00B206A4" w:rsidP="003B42B4">
            <w:pPr>
              <w:spacing w:after="0" w:line="240" w:lineRule="auto"/>
              <w:rPr>
                <w:rFonts w:ascii="Times New Roman" w:hAnsi="Times New Roman"/>
                <w:sz w:val="24"/>
                <w:szCs w:val="24"/>
              </w:rPr>
            </w:pPr>
            <w:r w:rsidRPr="00D95FEB">
              <w:rPr>
                <w:rFonts w:ascii="Times New Roman" w:hAnsi="Times New Roman"/>
                <w:sz w:val="24"/>
                <w:szCs w:val="24"/>
              </w:rPr>
              <w:t>219,2±160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264,2±326,3</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0,306</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Hemoglobina 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3B42B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 xml:space="preserve">10,1±12,8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10,1±18,4</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0,000*</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Hematócrito %</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27,9±5,0</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24,3±6,0</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&lt;0,001*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proofErr w:type="spellStart"/>
            <w:r w:rsidRPr="00D95FEB">
              <w:rPr>
                <w:rFonts w:ascii="Times New Roman" w:hAnsi="Times New Roman"/>
                <w:sz w:val="24"/>
                <w:szCs w:val="24"/>
              </w:rPr>
              <w:t>KtV</w:t>
            </w:r>
            <w:proofErr w:type="spellEnd"/>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1,5±0,4</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1,4±0,5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0,151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 xml:space="preserve">Leucócitos por </w:t>
            </w:r>
            <w:proofErr w:type="spellStart"/>
            <w:r w:rsidRPr="00D95FEB">
              <w:rPr>
                <w:rFonts w:ascii="Times New Roman" w:hAnsi="Times New Roman"/>
                <w:sz w:val="24"/>
                <w:szCs w:val="24"/>
              </w:rPr>
              <w:t>mL</w:t>
            </w:r>
            <w:proofErr w:type="spellEnd"/>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7551±4445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8099±3075</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0,689</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PTH</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529,8±488,5</w:t>
            </w:r>
          </w:p>
        </w:tc>
        <w:tc>
          <w:tcPr>
            <w:tcW w:w="2209" w:type="dxa"/>
          </w:tcPr>
          <w:p w:rsidR="00B206A4" w:rsidRPr="00D95FEB" w:rsidRDefault="00B206A4" w:rsidP="00751EC4">
            <w:pPr>
              <w:spacing w:after="0" w:line="240" w:lineRule="auto"/>
              <w:rPr>
                <w:rFonts w:ascii="Times New Roman" w:hAnsi="Times New Roman"/>
                <w:color w:val="000000"/>
                <w:sz w:val="24"/>
                <w:szCs w:val="24"/>
              </w:rPr>
            </w:pPr>
            <w:r w:rsidRPr="00D95FEB">
              <w:rPr>
                <w:rFonts w:ascii="Times New Roman" w:hAnsi="Times New Roman"/>
                <w:color w:val="000000"/>
                <w:sz w:val="24"/>
                <w:szCs w:val="24"/>
              </w:rPr>
              <w:t>409,5±612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0,008*</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Fósforo mg/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5,0±1,1</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4,5±1,2</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Cálcio mg/</w:t>
            </w:r>
            <w:proofErr w:type="spellStart"/>
            <w:r w:rsidRPr="00D95FEB">
              <w:rPr>
                <w:rFonts w:ascii="Times New Roman" w:hAnsi="Times New Roman"/>
                <w:sz w:val="24"/>
                <w:szCs w:val="24"/>
              </w:rPr>
              <w:t>dL</w:t>
            </w:r>
            <w:proofErr w:type="spellEnd"/>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8,8±0.6</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9,0±0,9</w:t>
            </w:r>
          </w:p>
        </w:tc>
        <w:tc>
          <w:tcPr>
            <w:tcW w:w="2209" w:type="dxa"/>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0,011*</w:t>
            </w:r>
          </w:p>
        </w:tc>
      </w:tr>
      <w:tr w:rsidR="00B206A4" w:rsidRPr="00D95FEB" w:rsidTr="007C2529">
        <w:tblPrEx>
          <w:tblBorders>
            <w:top w:val="none" w:sz="0" w:space="0" w:color="auto"/>
          </w:tblBorders>
        </w:tblPrEx>
        <w:tc>
          <w:tcPr>
            <w:tcW w:w="2660"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 xml:space="preserve">Produto </w:t>
            </w:r>
            <w:proofErr w:type="spellStart"/>
            <w:r w:rsidRPr="00D95FEB">
              <w:rPr>
                <w:rFonts w:ascii="Times New Roman" w:hAnsi="Times New Roman"/>
                <w:sz w:val="24"/>
                <w:szCs w:val="24"/>
              </w:rPr>
              <w:t>CaxP</w:t>
            </w:r>
            <w:proofErr w:type="spellEnd"/>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4,8±10,2</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42±11,3</w:t>
            </w:r>
          </w:p>
        </w:tc>
        <w:tc>
          <w:tcPr>
            <w:tcW w:w="2209" w:type="dxa"/>
            <w:tcBorders>
              <w:bottom w:val="single" w:sz="4" w:space="0" w:color="000000"/>
            </w:tcBorders>
          </w:tcPr>
          <w:p w:rsidR="00B206A4" w:rsidRPr="00D95FEB" w:rsidRDefault="00B206A4" w:rsidP="00751EC4">
            <w:pPr>
              <w:spacing w:after="0" w:line="240" w:lineRule="auto"/>
              <w:rPr>
                <w:rFonts w:ascii="Times New Roman" w:hAnsi="Times New Roman"/>
                <w:sz w:val="24"/>
                <w:szCs w:val="24"/>
              </w:rPr>
            </w:pPr>
            <w:r w:rsidRPr="00D95FEB">
              <w:rPr>
                <w:rFonts w:ascii="Times New Roman" w:hAnsi="Times New Roman"/>
                <w:sz w:val="24"/>
                <w:szCs w:val="24"/>
              </w:rPr>
              <w:t>0,090</w:t>
            </w:r>
          </w:p>
        </w:tc>
      </w:tr>
    </w:tbl>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 xml:space="preserve">*p&lt;0,05 utilizando-se os testes de Fisher e de </w:t>
      </w:r>
      <w:proofErr w:type="spellStart"/>
      <w:r w:rsidRPr="00DC3FF0">
        <w:rPr>
          <w:rFonts w:ascii="Times New Roman" w:hAnsi="Times New Roman"/>
          <w:sz w:val="24"/>
          <w:szCs w:val="24"/>
        </w:rPr>
        <w:t>Kruskal</w:t>
      </w:r>
      <w:proofErr w:type="spellEnd"/>
      <w:r w:rsidRPr="00DC3FF0">
        <w:rPr>
          <w:rFonts w:ascii="Times New Roman" w:hAnsi="Times New Roman"/>
          <w:sz w:val="24"/>
          <w:szCs w:val="24"/>
        </w:rPr>
        <w:t xml:space="preserve"> Wallis.</w:t>
      </w:r>
    </w:p>
    <w:p w:rsidR="00B206A4" w:rsidRPr="00DC3FF0" w:rsidRDefault="00B206A4" w:rsidP="00076677">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6F0CF5">
      <w:pPr>
        <w:spacing w:after="0" w:line="360" w:lineRule="auto"/>
        <w:jc w:val="both"/>
        <w:rPr>
          <w:rFonts w:ascii="Times New Roman" w:hAnsi="Times New Roman"/>
          <w:sz w:val="24"/>
          <w:szCs w:val="24"/>
        </w:rPr>
      </w:pPr>
    </w:p>
    <w:p w:rsidR="00B206A4" w:rsidRPr="00DC3FF0" w:rsidRDefault="00B206A4" w:rsidP="00076677">
      <w:pPr>
        <w:spacing w:after="0" w:line="480" w:lineRule="auto"/>
        <w:jc w:val="both"/>
        <w:rPr>
          <w:rFonts w:ascii="Times New Roman" w:hAnsi="Times New Roman"/>
          <w:sz w:val="24"/>
          <w:szCs w:val="24"/>
        </w:rPr>
      </w:pPr>
      <w:r w:rsidRPr="00DC3FF0">
        <w:rPr>
          <w:rFonts w:ascii="Times New Roman" w:hAnsi="Times New Roman"/>
          <w:sz w:val="24"/>
          <w:szCs w:val="24"/>
        </w:rPr>
        <w:t xml:space="preserve">      Na figura 01 é apresentada a curva de sobrevida dos pacientes da clínica que foram acompanhados no período de estudo com os respectivos limites superiores e inferiores de confiança em 95%.</w:t>
      </w:r>
    </w:p>
    <w:p w:rsidR="00B206A4" w:rsidRPr="00DC3FF0" w:rsidRDefault="00B206A4" w:rsidP="00FE2036">
      <w:pPr>
        <w:spacing w:after="0" w:line="360" w:lineRule="auto"/>
        <w:jc w:val="both"/>
        <w:rPr>
          <w:rFonts w:ascii="Times New Roman" w:hAnsi="Times New Roman"/>
          <w:sz w:val="24"/>
          <w:szCs w:val="24"/>
        </w:rPr>
      </w:pPr>
    </w:p>
    <w:p w:rsidR="00B206A4" w:rsidRPr="00DC3FF0" w:rsidRDefault="00FE0D59" w:rsidP="00880ECC">
      <w:pPr>
        <w:spacing w:line="240" w:lineRule="auto"/>
        <w:jc w:val="both"/>
        <w:rPr>
          <w:rFonts w:ascii="Times New Roman" w:hAnsi="Times New Roman"/>
          <w:sz w:val="24"/>
          <w:szCs w:val="24"/>
        </w:rPr>
      </w:pPr>
      <w:r>
        <w:rPr>
          <w:rFonts w:ascii="Times New Roman" w:hAnsi="Times New Roman"/>
          <w:noProof/>
          <w:sz w:val="24"/>
          <w:szCs w:val="24"/>
          <w:lang w:eastAsia="pt-BR"/>
        </w:rPr>
        <w:drawing>
          <wp:inline distT="0" distB="0" distL="0" distR="0">
            <wp:extent cx="4572762" cy="2746629"/>
            <wp:effectExtent l="12192" t="6096" r="6096"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206A4" w:rsidRPr="00DC3FF0" w:rsidRDefault="00B206A4" w:rsidP="00880ECC">
      <w:pPr>
        <w:spacing w:after="0" w:line="240" w:lineRule="auto"/>
        <w:jc w:val="both"/>
        <w:rPr>
          <w:rFonts w:ascii="Times New Roman" w:hAnsi="Times New Roman"/>
          <w:sz w:val="24"/>
          <w:szCs w:val="24"/>
        </w:rPr>
      </w:pPr>
      <w:r w:rsidRPr="00DC3FF0">
        <w:rPr>
          <w:rFonts w:ascii="Times New Roman" w:hAnsi="Times New Roman"/>
          <w:sz w:val="24"/>
          <w:szCs w:val="24"/>
        </w:rPr>
        <w:t xml:space="preserve">Figura </w:t>
      </w:r>
      <w:r w:rsidR="005254F9" w:rsidRPr="00DC3FF0">
        <w:rPr>
          <w:rFonts w:ascii="Times New Roman" w:hAnsi="Times New Roman"/>
          <w:sz w:val="24"/>
          <w:szCs w:val="24"/>
        </w:rPr>
        <w:fldChar w:fldCharType="begin"/>
      </w:r>
      <w:r w:rsidRPr="00DC3FF0">
        <w:rPr>
          <w:rFonts w:ascii="Times New Roman" w:hAnsi="Times New Roman"/>
          <w:sz w:val="24"/>
          <w:szCs w:val="24"/>
        </w:rPr>
        <w:instrText xml:space="preserve"> SEQ Figura \* ARABIC </w:instrText>
      </w:r>
      <w:r w:rsidR="005254F9" w:rsidRPr="00DC3FF0">
        <w:rPr>
          <w:rFonts w:ascii="Times New Roman" w:hAnsi="Times New Roman"/>
          <w:sz w:val="24"/>
          <w:szCs w:val="24"/>
        </w:rPr>
        <w:fldChar w:fldCharType="separate"/>
      </w:r>
      <w:r w:rsidRPr="00DC3FF0">
        <w:rPr>
          <w:rFonts w:ascii="Times New Roman" w:hAnsi="Times New Roman"/>
          <w:noProof/>
          <w:sz w:val="24"/>
          <w:szCs w:val="24"/>
        </w:rPr>
        <w:t>1</w:t>
      </w:r>
      <w:r w:rsidR="005254F9" w:rsidRPr="00DC3FF0">
        <w:rPr>
          <w:rFonts w:ascii="Times New Roman" w:hAnsi="Times New Roman"/>
          <w:sz w:val="24"/>
          <w:szCs w:val="24"/>
        </w:rPr>
        <w:fldChar w:fldCharType="end"/>
      </w:r>
      <w:r w:rsidRPr="00DC3FF0">
        <w:rPr>
          <w:rFonts w:ascii="Times New Roman" w:hAnsi="Times New Roman"/>
          <w:sz w:val="24"/>
          <w:szCs w:val="24"/>
        </w:rPr>
        <w:t xml:space="preserve"> - Curva de Sobrevida analisando a Probabilidade Acumulada de Sobrevida (%) x Número de Semestres.</w:t>
      </w:r>
    </w:p>
    <w:p w:rsidR="00B206A4" w:rsidRPr="00DC3FF0" w:rsidRDefault="00B206A4" w:rsidP="00E90FE9">
      <w:pPr>
        <w:spacing w:after="0" w:line="240" w:lineRule="auto"/>
        <w:jc w:val="both"/>
        <w:rPr>
          <w:rFonts w:ascii="Times New Roman" w:hAnsi="Times New Roman"/>
          <w:sz w:val="24"/>
          <w:szCs w:val="24"/>
        </w:rPr>
      </w:pPr>
      <w:r w:rsidRPr="00DC3FF0">
        <w:rPr>
          <w:rFonts w:ascii="Times New Roman" w:hAnsi="Times New Roman"/>
          <w:sz w:val="24"/>
          <w:szCs w:val="24"/>
        </w:rPr>
        <w:t>Fonte: Os autores (2013)</w:t>
      </w:r>
    </w:p>
    <w:p w:rsidR="00B206A4" w:rsidRPr="00DC3FF0" w:rsidRDefault="00B206A4" w:rsidP="00FE2036">
      <w:pPr>
        <w:spacing w:after="0" w:line="360" w:lineRule="auto"/>
        <w:jc w:val="both"/>
        <w:rPr>
          <w:rFonts w:ascii="Times New Roman" w:hAnsi="Times New Roman"/>
          <w:sz w:val="24"/>
          <w:szCs w:val="24"/>
        </w:rPr>
      </w:pPr>
    </w:p>
    <w:p w:rsidR="00B206A4" w:rsidRPr="00DC3FF0" w:rsidRDefault="00B206A4" w:rsidP="00E90FE9">
      <w:pPr>
        <w:pStyle w:val="PargrafodaLista"/>
        <w:numPr>
          <w:ilvl w:val="0"/>
          <w:numId w:val="8"/>
        </w:numPr>
        <w:spacing w:after="0" w:line="480" w:lineRule="auto"/>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 xml:space="preserve">DISCUSSÃO </w:t>
      </w:r>
    </w:p>
    <w:p w:rsidR="00B206A4" w:rsidRPr="00DC3FF0" w:rsidRDefault="00B206A4" w:rsidP="00E90FE9">
      <w:pPr>
        <w:spacing w:after="0" w:line="480" w:lineRule="auto"/>
        <w:ind w:firstLine="708"/>
        <w:jc w:val="both"/>
        <w:rPr>
          <w:rFonts w:ascii="Times New Roman" w:hAnsi="Times New Roman"/>
          <w:sz w:val="24"/>
          <w:szCs w:val="24"/>
        </w:rPr>
      </w:pP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lastRenderedPageBreak/>
        <w:t xml:space="preserve">Os pacientes investigados se caracterizam por serem pessoas com idade em torno de 60 anos com leve predomínio do sexo feminino, pessoas casadas e </w:t>
      </w:r>
      <w:proofErr w:type="spellStart"/>
      <w:r w:rsidRPr="00DC3FF0">
        <w:rPr>
          <w:rFonts w:ascii="Times New Roman" w:hAnsi="Times New Roman"/>
          <w:sz w:val="24"/>
          <w:szCs w:val="24"/>
        </w:rPr>
        <w:t>faiodermos</w:t>
      </w:r>
      <w:proofErr w:type="spellEnd"/>
      <w:r w:rsidRPr="00DC3FF0">
        <w:rPr>
          <w:rFonts w:ascii="Times New Roman" w:hAnsi="Times New Roman"/>
          <w:sz w:val="24"/>
          <w:szCs w:val="24"/>
        </w:rPr>
        <w:t xml:space="preserve">, sendo que 40% deles eram aposentados. Em relação às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apresentadas pelos pacientes previamente ao desenvolvimento de IRC, verificou-se que a maioria não apresentava Diabetes </w:t>
      </w:r>
      <w:proofErr w:type="spellStart"/>
      <w:r w:rsidRPr="00DC3FF0">
        <w:rPr>
          <w:rFonts w:ascii="Times New Roman" w:hAnsi="Times New Roman"/>
          <w:sz w:val="24"/>
          <w:szCs w:val="24"/>
        </w:rPr>
        <w:t>Melitus</w:t>
      </w:r>
      <w:proofErr w:type="spellEnd"/>
      <w:r w:rsidRPr="00DC3FF0">
        <w:rPr>
          <w:rFonts w:ascii="Times New Roman" w:hAnsi="Times New Roman"/>
          <w:sz w:val="24"/>
          <w:szCs w:val="24"/>
        </w:rPr>
        <w:t xml:space="preserve"> e que uma pequena parte apresentava alguma cardiopatia. Em contrapartida, a maioria dos pacientes apresentavam HAS como doença de base.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Ao analisar as causas que levaram ao desenvolvimento de IRC nos pacientes do estudo, verificou-se que a maioria ocorreu em consequência de </w:t>
      </w:r>
      <w:proofErr w:type="spellStart"/>
      <w:r w:rsidRPr="00DC3FF0">
        <w:rPr>
          <w:rFonts w:ascii="Times New Roman" w:hAnsi="Times New Roman"/>
          <w:sz w:val="24"/>
          <w:szCs w:val="24"/>
        </w:rPr>
        <w:t>nefropatia</w:t>
      </w:r>
      <w:proofErr w:type="spellEnd"/>
      <w:r w:rsidRPr="00DC3FF0">
        <w:rPr>
          <w:rFonts w:ascii="Times New Roman" w:hAnsi="Times New Roman"/>
          <w:sz w:val="24"/>
          <w:szCs w:val="24"/>
        </w:rPr>
        <w:t xml:space="preserve"> diabética, seguida por </w:t>
      </w:r>
      <w:proofErr w:type="spellStart"/>
      <w:r w:rsidRPr="00DC3FF0">
        <w:rPr>
          <w:rFonts w:ascii="Times New Roman" w:hAnsi="Times New Roman"/>
          <w:sz w:val="24"/>
          <w:szCs w:val="24"/>
        </w:rPr>
        <w:t>nefroesclerose</w:t>
      </w:r>
      <w:proofErr w:type="spellEnd"/>
      <w:r w:rsidRPr="00DC3FF0">
        <w:rPr>
          <w:rFonts w:ascii="Times New Roman" w:hAnsi="Times New Roman"/>
          <w:sz w:val="24"/>
          <w:szCs w:val="24"/>
        </w:rPr>
        <w:t xml:space="preserve"> hipertensiva e, por último, de outras causas, como </w:t>
      </w:r>
      <w:proofErr w:type="spellStart"/>
      <w:r w:rsidRPr="00DC3FF0">
        <w:rPr>
          <w:rFonts w:ascii="Times New Roman" w:hAnsi="Times New Roman"/>
          <w:sz w:val="24"/>
          <w:szCs w:val="24"/>
        </w:rPr>
        <w:t>glomerulonefrite</w:t>
      </w:r>
      <w:proofErr w:type="spellEnd"/>
      <w:r w:rsidRPr="00DC3FF0">
        <w:rPr>
          <w:rFonts w:ascii="Times New Roman" w:hAnsi="Times New Roman"/>
          <w:sz w:val="24"/>
          <w:szCs w:val="24"/>
        </w:rPr>
        <w:t xml:space="preserve"> crônica, doença renal policística do adulto, </w:t>
      </w:r>
      <w:proofErr w:type="spellStart"/>
      <w:r w:rsidRPr="00DC3FF0">
        <w:rPr>
          <w:rFonts w:ascii="Times New Roman" w:hAnsi="Times New Roman"/>
          <w:sz w:val="24"/>
          <w:szCs w:val="24"/>
        </w:rPr>
        <w:t>uropatia</w:t>
      </w:r>
      <w:proofErr w:type="spellEnd"/>
      <w:r w:rsidRPr="00DC3FF0">
        <w:rPr>
          <w:rFonts w:ascii="Times New Roman" w:hAnsi="Times New Roman"/>
          <w:sz w:val="24"/>
          <w:szCs w:val="24"/>
        </w:rPr>
        <w:t xml:space="preserve"> obstrutiva crônica e pielonefrite crônica.</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às causas de óbito dos pacientes, verificou-se que as doenças cardiovasculares foram as mais prevalentes. A prevalência dos óbitos entre pacientes em hemodiálise na presente série foi de aproximadamente 36%, ou seja, um terço dos pacientes em hemodiálise faleceu em um período de cinco anos e meio de observação.  A literatura encontrada acerca do tema mostra que a mortalidade em pacientes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é geralmente alta (</w:t>
      </w:r>
      <w:r w:rsidRPr="00DC3FF0">
        <w:rPr>
          <w:rFonts w:ascii="Times New Roman" w:hAnsi="Times New Roman"/>
          <w:color w:val="000000"/>
          <w:sz w:val="24"/>
          <w:szCs w:val="24"/>
          <w:lang w:eastAsia="pt-BR"/>
        </w:rPr>
        <w:t>MIRANDA et al., 2009)</w:t>
      </w:r>
      <w:r w:rsidRPr="00DC3FF0">
        <w:rPr>
          <w:rFonts w:ascii="Times New Roman" w:hAnsi="Times New Roman"/>
          <w:sz w:val="24"/>
          <w:szCs w:val="24"/>
        </w:rPr>
        <w:t>, o que corrobora os dados encontrados no presente estudo. Silva et al. (2009) encontrou uma taxa de mortalidade de 32,5 % em seu estudo envolvendo 1009 pacientes durante 25 anos. Há vários ensaios clínicos que vêm analisar os fatores de risco para uma alta mortalidade, bem como o que leva os pacientes a óbito. Assim como no presente estudo, há, na literatura, dados que mostram que as doenças cardiovasculares são as principais responsáveis pelos óbitos de pacientes em hemodiálise</w:t>
      </w:r>
      <w:r w:rsidRPr="00DC3FF0">
        <w:rPr>
          <w:rFonts w:ascii="Times New Roman" w:hAnsi="Times New Roman"/>
          <w:sz w:val="24"/>
          <w:szCs w:val="24"/>
          <w:lang w:eastAsia="pt-BR"/>
        </w:rPr>
        <w:t xml:space="preserve"> (AJIRO, et al., 2007; </w:t>
      </w:r>
      <w:r w:rsidRPr="00DC3FF0">
        <w:rPr>
          <w:rFonts w:ascii="Times New Roman" w:hAnsi="Times New Roman"/>
          <w:color w:val="000000"/>
          <w:sz w:val="24"/>
          <w:szCs w:val="24"/>
          <w:lang w:eastAsia="pt-BR"/>
        </w:rPr>
        <w:t>MIRANDA et al., 2009</w:t>
      </w:r>
      <w:r w:rsidRPr="00DC3FF0">
        <w:rPr>
          <w:rFonts w:ascii="Times New Roman" w:hAnsi="Times New Roman"/>
          <w:color w:val="000000"/>
          <w:sz w:val="24"/>
          <w:szCs w:val="24"/>
        </w:rPr>
        <w:t>; ALMEIDA</w:t>
      </w:r>
      <w:r w:rsidRPr="00DC3FF0">
        <w:rPr>
          <w:rFonts w:ascii="Times New Roman" w:hAnsi="Times New Roman"/>
          <w:sz w:val="24"/>
          <w:szCs w:val="24"/>
          <w:vertAlign w:val="superscript"/>
        </w:rPr>
        <w:t xml:space="preserve"> </w:t>
      </w:r>
      <w:r w:rsidRPr="00DC3FF0">
        <w:rPr>
          <w:rFonts w:ascii="Times New Roman" w:hAnsi="Times New Roman"/>
          <w:sz w:val="24"/>
          <w:szCs w:val="24"/>
        </w:rPr>
        <w:t xml:space="preserve">et al., 2010). Azevedo et al. (2009), encontrou em seu estudo dados que corroboram a hipótese descrita, mostrando que as doenças cardiovasculares são a principal causa de óbito, apesar da diferença em relação à segunda causa, que no presente estudo mostra-se serem causas diversas e no estudo descrito serem causas infecciosas. Acredita-se </w:t>
      </w:r>
      <w:r w:rsidRPr="00DC3FF0">
        <w:rPr>
          <w:rFonts w:ascii="Times New Roman" w:hAnsi="Times New Roman"/>
          <w:sz w:val="24"/>
          <w:szCs w:val="24"/>
        </w:rPr>
        <w:lastRenderedPageBreak/>
        <w:t>que a semelhança entre os dados encontrados no presente estudo e na literatura se deve ao fato de que há muitas variáveis envolvidas que influenciam na mortalidade. Até a presente data não foi possível uma redução drástica nos padrões de mortalidade, o que faz com que pacientes com IRC em hemodiálise tenham uma maior mortalidade em comparação com a população geral</w:t>
      </w:r>
      <w:r w:rsidRPr="00DC3FF0">
        <w:rPr>
          <w:rFonts w:ascii="Times New Roman" w:hAnsi="Times New Roman"/>
          <w:color w:val="000000"/>
          <w:sz w:val="24"/>
          <w:szCs w:val="24"/>
        </w:rPr>
        <w:t xml:space="preserve"> (YOUNG</w:t>
      </w:r>
      <w:r w:rsidRPr="00DC3FF0">
        <w:rPr>
          <w:rFonts w:ascii="Times New Roman" w:hAnsi="Times New Roman"/>
          <w:sz w:val="24"/>
          <w:szCs w:val="24"/>
        </w:rPr>
        <w:t xml:space="preserve">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dos sobreviventes e dos falecidos durante a hemodiálise quanto à idade dos pacientes mostra que os portadores de IRC entre 60 - 87 anos são os mais frequentes entre os falecidos. Mostra também que os pacientes mais jovens são mais frequentes entre os que sobreviveram do que entre os que faleceram. A comparação das idades médias mostra a mesma coisa e confirma a impressão de que os pacientes mais jovens são mais frequentes entre os sobreviventes. Os dois modos de comparar esses dois grupos mostram diferenças na idade que são significativas do ponto de vista estatístico (p = 0,002 e p &lt; 0,001). Pode-se concluir com este resultado que o aumento da idade é fator de risco para o óbito de pacientes em hemodiálise, dado este que é encontrado na literatura (ALMEIDA et al., 2010; AZEVEDO et al., 2009). Tal fato poderia ser explicado por um aumento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xml:space="preserve"> que ocorre com o tempo (MORSCH; GONÇALVES; BARROS, 2005)</w:t>
      </w:r>
      <w:r w:rsidRPr="00DC3FF0">
        <w:rPr>
          <w:rFonts w:ascii="Times New Roman" w:hAnsi="Times New Roman"/>
          <w:bCs/>
          <w:sz w:val="24"/>
          <w:szCs w:val="24"/>
          <w:lang w:eastAsia="pt-BR"/>
        </w:rPr>
        <w:t>, o que poderia gerar fatores de risco mais graves que contribuiriam para um aumento da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A comparação de pacientes que sobreviveram à hemodiálise com os que faleceram, quanto à frequência da HAS, mostra que a HAS é mais frequente entre os que faleceram do que entre os que sobreviveram. A diferença entre os dois grupos é significativa neste quesito (p = 0,022). Com este resultado pode-se concluir que a HAS está relacionada ao risco de falecer, dado este encontrado na literatura (BARBOSA et al., 2006). Tal resultado pode ser explicado pelo fato de que pacientes submetidos à diálise apresentam uma atenuação da queda noturna da pressão diastólica e sistólica em relação aos pacientes que não são portadores de insuficiência renal, por isso pacientes já com altas taxas pressóricas com a diálise teriam </w:t>
      </w:r>
      <w:r w:rsidRPr="00DC3FF0">
        <w:rPr>
          <w:rFonts w:ascii="Times New Roman" w:hAnsi="Times New Roman"/>
          <w:sz w:val="24"/>
          <w:szCs w:val="24"/>
        </w:rPr>
        <w:lastRenderedPageBreak/>
        <w:t xml:space="preserve">pouca redução noturna das mesmas, predispondo a uma sobrecarga de órgãos vitais como o próprio rim. Conclui-se então que a HAS e a função renal estão intimamente associadas, sendo que a HAS pode ser tanto a causa como consequência da IRC (PINHEIRO; ALVES, 2003).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faleceram apresentam maior frequência de níveis baixos e altos de albumina e menor de níveis médios da substância, quando comparados com as respectivas frequências dos sobreviventes e a diferença entre eles é significativa (p = 0,002), sendo que, em se tratando do grupo com albumina sérica alta, vale ressaltar que o número de pacientes é muito pequeno em relação aos demais grupos, amostra esta que inviabiliza a análise do referido grupo. As médias de albumina dos dois grupos são, entretanto, muito parecidas (em torno de 3,7g/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p=0,464. Embora não haja diferenças entre as médias, os dois grupos (sobreviventes e falecidos) são diferentes quanto aos percentuais de pacientes que apresentam albumina nas concentrações comparadas. Há indícios, portanto, de que níveis muito baixos, estão associados com o risco de morte, na hemodiálise. Tais dados são compatíveis com a literatura encontrada, uma vez que a mesma mostra que a </w:t>
      </w:r>
      <w:proofErr w:type="spellStart"/>
      <w:r w:rsidRPr="00DC3FF0">
        <w:rPr>
          <w:rFonts w:ascii="Times New Roman" w:hAnsi="Times New Roman"/>
          <w:sz w:val="24"/>
          <w:szCs w:val="24"/>
        </w:rPr>
        <w:t>hipoalbuminemia</w:t>
      </w:r>
      <w:proofErr w:type="spellEnd"/>
      <w:r w:rsidRPr="00DC3FF0">
        <w:rPr>
          <w:rFonts w:ascii="Times New Roman" w:hAnsi="Times New Roman"/>
          <w:sz w:val="24"/>
          <w:szCs w:val="24"/>
        </w:rPr>
        <w:t>, que reflete um estado inflamatório crônico, é um marcador de baixa sobreviva (AZEVEDO et al., 2009).</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Em relação à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observou-se que os pacientes que faleceram ao longo do estudo tinham uma maior frequência de baixos níveis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 menor de níveis altos da mesma, quando comparados com as respectivas frequências dos sobreviventes e a diferença entre eles é significativa (p = 0,012). A média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no grupo dos que faleceram é de 264,2 </w:t>
      </w:r>
      <w:proofErr w:type="spellStart"/>
      <w:r w:rsidRPr="00DC3FF0">
        <w:rPr>
          <w:rFonts w:ascii="Times New Roman" w:hAnsi="Times New Roman"/>
          <w:sz w:val="24"/>
          <w:szCs w:val="24"/>
        </w:rPr>
        <w:t>ng</w:t>
      </w:r>
      <w:proofErr w:type="spellEnd"/>
      <w:r w:rsidRPr="00DC3FF0">
        <w:rPr>
          <w:rFonts w:ascii="Times New Roman" w:hAnsi="Times New Roman"/>
          <w:sz w:val="24"/>
          <w:szCs w:val="24"/>
        </w:rPr>
        <w:t>/</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e entre os sobreviventes é de 219,2 </w:t>
      </w:r>
      <w:proofErr w:type="spellStart"/>
      <w:r w:rsidRPr="00DC3FF0">
        <w:rPr>
          <w:rFonts w:ascii="Times New Roman" w:hAnsi="Times New Roman"/>
          <w:sz w:val="24"/>
          <w:szCs w:val="24"/>
        </w:rPr>
        <w:t>ng</w:t>
      </w:r>
      <w:proofErr w:type="spellEnd"/>
      <w:r w:rsidRPr="00DC3FF0">
        <w:rPr>
          <w:rFonts w:ascii="Times New Roman" w:hAnsi="Times New Roman"/>
          <w:sz w:val="24"/>
          <w:szCs w:val="24"/>
        </w:rPr>
        <w:t>/</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apresentando p = 0,306, sendo a média no primeiro grupo maior que no segundo. Pode-se dizer, portanto, que um menor valor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estaria associado a uma maior mortalidade entre os pacientes incluídos no estudo, apesar de que a literatura mostra que valores elevados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contribuem diretamente para uma maior mortalidade em pacientes dialíticos (BEERENHOUT et al., 2002; HASUIKE et al., 2010; </w:t>
      </w:r>
      <w:r w:rsidRPr="00DC3FF0">
        <w:rPr>
          <w:rFonts w:ascii="Times New Roman" w:hAnsi="Times New Roman"/>
          <w:sz w:val="24"/>
          <w:szCs w:val="24"/>
        </w:rPr>
        <w:lastRenderedPageBreak/>
        <w:t xml:space="preserve">KALANTAR et al., 2001). Tal diferença pode ser explicada pelo fato de que o número de pacientes que apresentavam altos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era muito pequeno perto da amostra que representa os demais grupos de valores para a substância. Em contrapartida, baixos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coincidem com uma menor sobrevida em pacientes com </w:t>
      </w:r>
      <w:proofErr w:type="spellStart"/>
      <w:r w:rsidRPr="00DC3FF0">
        <w:rPr>
          <w:rFonts w:ascii="Times New Roman" w:hAnsi="Times New Roman"/>
          <w:sz w:val="24"/>
          <w:szCs w:val="24"/>
        </w:rPr>
        <w:t>Hb</w:t>
      </w:r>
      <w:proofErr w:type="spellEnd"/>
      <w:r w:rsidRPr="00DC3FF0">
        <w:rPr>
          <w:rFonts w:ascii="Times New Roman" w:hAnsi="Times New Roman"/>
          <w:sz w:val="24"/>
          <w:szCs w:val="24"/>
        </w:rPr>
        <w:t xml:space="preserve">&lt; 7, o que pode explica a </w:t>
      </w:r>
      <w:proofErr w:type="spellStart"/>
      <w:r w:rsidRPr="00DC3FF0">
        <w:rPr>
          <w:rFonts w:ascii="Times New Roman" w:hAnsi="Times New Roman"/>
          <w:sz w:val="24"/>
          <w:szCs w:val="24"/>
        </w:rPr>
        <w:t>multifatoriedade</w:t>
      </w:r>
      <w:proofErr w:type="spellEnd"/>
      <w:r w:rsidRPr="00DC3FF0">
        <w:rPr>
          <w:rFonts w:ascii="Times New Roman" w:hAnsi="Times New Roman"/>
          <w:sz w:val="24"/>
          <w:szCs w:val="24"/>
        </w:rPr>
        <w:t xml:space="preserve"> da anemia no paciente </w:t>
      </w:r>
      <w:proofErr w:type="spellStart"/>
      <w:r w:rsidRPr="00DC3FF0">
        <w:rPr>
          <w:rFonts w:ascii="Times New Roman" w:hAnsi="Times New Roman"/>
          <w:sz w:val="24"/>
          <w:szCs w:val="24"/>
        </w:rPr>
        <w:t>hemodialítico</w:t>
      </w:r>
      <w:proofErr w:type="spellEnd"/>
      <w:r w:rsidRPr="00DC3FF0">
        <w:rPr>
          <w:rFonts w:ascii="Times New Roman" w:hAnsi="Times New Roman"/>
          <w:sz w:val="24"/>
          <w:szCs w:val="24"/>
        </w:rPr>
        <w:t xml:space="preserve"> (LOCATELLI et al., 2004; PISONI et al., 2004).</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sobreviventes apresentaram maior frequência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elevados quando comparados com a respectiva frequência dos falecidos e a diferença entre eles tem significância estatística (p=0,004).  As médias dos dois grupos são muito parecidas (em torno de 1,5), com P &lt; 0,151. Embora não haja diferenças significativas entre as médias, os dois grupos (sobreviventes e falecidos) são diferentes quanto aos percentuais de pacientes que apresentam doses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comparadas. O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hoje é aceito como </w:t>
      </w:r>
      <w:proofErr w:type="spellStart"/>
      <w:r w:rsidRPr="00DC3FF0">
        <w:rPr>
          <w:rFonts w:ascii="Times New Roman" w:hAnsi="Times New Roman"/>
          <w:sz w:val="24"/>
          <w:szCs w:val="24"/>
        </w:rPr>
        <w:t>preditor</w:t>
      </w:r>
      <w:proofErr w:type="spellEnd"/>
      <w:r w:rsidRPr="00DC3FF0">
        <w:rPr>
          <w:rFonts w:ascii="Times New Roman" w:hAnsi="Times New Roman"/>
          <w:sz w:val="24"/>
          <w:szCs w:val="24"/>
        </w:rPr>
        <w:t xml:space="preserve"> de melhora clínica, em que valores acima de 1,2 relacionam-se a uma maior sobrevida (AZEVEDO et al., 2009), o que foi igualmente observado no nosso estudo. </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Em se tratando da hemoglobina, percebeu-se que no grupo de pacientes que possuíam valores entre 2,0 e &lt; 7,0 houve uma maior mortalidade, e no grupo com valores entre 7,0 e &lt; 12,0 houve uma maior sobrevida, sendo que diferença entre os dois grupos (sobreviventes e falecidos) teve significância estatística (p = 0,013). Em relação ao grupo com altos níveis de hemoglobina (</w:t>
      </w:r>
      <w:proofErr w:type="spellStart"/>
      <w:r w:rsidRPr="00DC3FF0">
        <w:rPr>
          <w:rFonts w:ascii="Times New Roman" w:hAnsi="Times New Roman"/>
          <w:sz w:val="24"/>
          <w:szCs w:val="24"/>
        </w:rPr>
        <w:t>Hb</w:t>
      </w:r>
      <w:proofErr w:type="spellEnd"/>
      <w:r w:rsidRPr="00DC3FF0">
        <w:rPr>
          <w:rFonts w:ascii="Times New Roman" w:hAnsi="Times New Roman"/>
          <w:sz w:val="24"/>
          <w:szCs w:val="24"/>
        </w:rPr>
        <w:t>&gt; 12,0 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apesar de haver significância estatística, o mesmo possui poucos pacientes (quatro), o que tornaria a análise de certa forma falha. As médias de hemoglobina dos dois grupos são semelhantes (10,1  mg/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p=0,000 embora não haja diferenças entre as médias, os dois grupos (sobreviventes e falecidos) são diferentes quanto aos percentuais de pacientes que apresentam níveis altos e baixos de hemoglobina. Há indícios, portanto, de que níveis mais baixos de hemoglobina estão associados a um maior risco de morte na hemodiálise. A hemoglobina é importante para a avaliação do quadro de </w:t>
      </w:r>
      <w:r w:rsidRPr="00DC3FF0">
        <w:rPr>
          <w:rFonts w:ascii="Times New Roman" w:hAnsi="Times New Roman"/>
          <w:sz w:val="24"/>
          <w:szCs w:val="24"/>
        </w:rPr>
        <w:lastRenderedPageBreak/>
        <w:t>anemia no paciente em hemodiálise, sendo associada a uma diminuição da qualidade de vida e aumento da mortalidade (AMMIRATI et al., 2010).</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Os que sobreviveram apresentaram maior frequência de níveis baixos de cálcio, quando comparados com as respectivas frequências dos falecidos, sendo que a diferença entre eles é significativa (p = 0,000). As médias de cálcio dos dois grupos são, entretanto, muito parecidas (em torno de 9 mg/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xml:space="preserve">), com p=0,011. Embora não haja diferenças entre as médias, os dois grupos (sobreviventes e falecidos) são diferentes quanto aos percentuais de pacientes que apresentam cálcio nas concentrações comparadas. Os pacientes que sobreviveram apresentaram menores valores de cálcio. Com base na literatura não há indícios de que valores baixos isolados do íon cálcio estejam relacionados com uma maior sobrevida nos pacientes que se encontram em tratamento </w:t>
      </w:r>
      <w:proofErr w:type="spellStart"/>
      <w:r w:rsidRPr="00DC3FF0">
        <w:rPr>
          <w:rFonts w:ascii="Times New Roman" w:hAnsi="Times New Roman"/>
          <w:sz w:val="24"/>
          <w:szCs w:val="24"/>
        </w:rPr>
        <w:t>hemodialítico</w:t>
      </w:r>
      <w:proofErr w:type="spellEnd"/>
      <w:r w:rsidRPr="00DC3FF0">
        <w:rPr>
          <w:rFonts w:ascii="Times New Roman" w:hAnsi="Times New Roman"/>
          <w:sz w:val="24"/>
          <w:szCs w:val="24"/>
        </w:rPr>
        <w:t>, embora em nosso estudo isso tenha sido evidenciado. O envolvimento primário de calcificações vasculares evidencia a importância de se fazer o controle metabólico do íon cálcio em nosso organismo.</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shd w:val="clear" w:color="auto" w:fill="FFFFFF"/>
        </w:rPr>
        <w:t>Quanto à análise isolada do PTH, os dois grupos (sobreviventes e falecidos) apresentaram maior frequência de níveis baixos desse hormônio e existe significância estatística (p=0,033). Quanto às médias de PTH o grupo de sobreviventes apresentou uma maior média (529,8) quando comparado ao grupo de falecidos (média = 409,5), com p= 0,008. Há, portanto, indícios de que a mortalidade esteja relacionada a níveis mais baixos de PTH. Parâmetros do metabolismo mineral podem desempenhar um papel importante na sobrevivência de pacientes com doença renal crônica e a literatura mostra que níveis baixos e elevados de PTH estão relacionados a uma maior mortalidade (NAVES et al., 2011). Entretanto, em nosso estudo apenas os níveis baixos desse hormônio tiveram associação com a mortalidade.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Sobreviventes e falecidos na hemodiálise foram comparados ainda quanto às frequências e/ou médias de gênero, profissão, estado civil, cor, causas de insuficiência renal crônica, presença de DM, presença de cardiopatia, causa do óbito, hematócrito, leucócitos, fósforo e </w:t>
      </w:r>
      <w:r w:rsidRPr="00DC3FF0">
        <w:rPr>
          <w:rFonts w:ascii="Times New Roman" w:hAnsi="Times New Roman"/>
          <w:sz w:val="24"/>
          <w:szCs w:val="24"/>
        </w:rPr>
        <w:lastRenderedPageBreak/>
        <w:t xml:space="preserve">produto </w:t>
      </w:r>
      <w:proofErr w:type="spellStart"/>
      <w:r w:rsidRPr="00DC3FF0">
        <w:rPr>
          <w:rFonts w:ascii="Times New Roman" w:hAnsi="Times New Roman"/>
          <w:sz w:val="24"/>
          <w:szCs w:val="24"/>
        </w:rPr>
        <w:t>CaxP</w:t>
      </w:r>
      <w:proofErr w:type="spellEnd"/>
      <w:r w:rsidRPr="00DC3FF0">
        <w:rPr>
          <w:rFonts w:ascii="Times New Roman" w:hAnsi="Times New Roman"/>
          <w:sz w:val="24"/>
          <w:szCs w:val="24"/>
        </w:rPr>
        <w:t>. Em nenhuma dessas comparações detectou-se diferenças significativamente importantes entre os dois grupos. Todas as comparações apresentaram p maior ou igual 0,05. Esses resultados sugerem não haver relação, pelo menos estatística, entre as variáveis e o fato de o paciente falecer ou sobreviver.</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Já em se tratando da curva de sobrevida dos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atendidos no serviço, observa-se uma taxa de óbito aproximadamente de 15% no final do primeiro ano e sobrevida de 85% de pacientes no final deste mesmo período. Mostra ainda que a taxa de sobreviventes continuou caindo até o final do quinto ano, quando atingiu 67% de sobrevida. A curva sugere mortalidade razoavelmente intensa no primeiro ano de tratamento seguida com redução gradativa da sobrevida até o final do quinto ano. Sugere também que a mortalidade deve ser pequena depois do quinto ano de hemodiálise.</w:t>
      </w:r>
    </w:p>
    <w:p w:rsidR="00B206A4" w:rsidRPr="00DC3FF0" w:rsidRDefault="00B206A4" w:rsidP="00E90FE9">
      <w:pPr>
        <w:spacing w:after="0" w:line="480" w:lineRule="auto"/>
        <w:ind w:firstLine="360"/>
        <w:jc w:val="both"/>
        <w:rPr>
          <w:rFonts w:ascii="Times New Roman" w:hAnsi="Times New Roman"/>
          <w:sz w:val="24"/>
          <w:szCs w:val="24"/>
        </w:rPr>
      </w:pPr>
      <w:r w:rsidRPr="00DC3FF0">
        <w:rPr>
          <w:rFonts w:ascii="Times New Roman" w:hAnsi="Times New Roman"/>
          <w:sz w:val="24"/>
          <w:szCs w:val="24"/>
        </w:rPr>
        <w:t xml:space="preserve">Os resultados apresentados possibilitam concluir que a taxa de mortalidade dos pacientes </w:t>
      </w:r>
      <w:proofErr w:type="spellStart"/>
      <w:r w:rsidRPr="00DC3FF0">
        <w:rPr>
          <w:rFonts w:ascii="Times New Roman" w:hAnsi="Times New Roman"/>
          <w:sz w:val="24"/>
          <w:szCs w:val="24"/>
        </w:rPr>
        <w:t>hemodialíticos</w:t>
      </w:r>
      <w:proofErr w:type="spellEnd"/>
      <w:r w:rsidRPr="00DC3FF0">
        <w:rPr>
          <w:rFonts w:ascii="Times New Roman" w:hAnsi="Times New Roman"/>
          <w:sz w:val="24"/>
          <w:szCs w:val="24"/>
        </w:rPr>
        <w:t xml:space="preserve"> nesse serviço foi alta, sendo esta compatível com os dados encontrados na literatura.  A curva de sobrevida mostra uma maior mortalidade no primeiro ano de tratamento e queda progressiva da sobrevida até o quinto ano.  A comparação dos pacientes que faleceram com os que sobreviveram mostrou que a mortalidade está relacionada com idade acima de 60 anos, presença de hipertensão arterial sistêmica como </w:t>
      </w:r>
      <w:proofErr w:type="spellStart"/>
      <w:r w:rsidRPr="00DC3FF0">
        <w:rPr>
          <w:rFonts w:ascii="Times New Roman" w:hAnsi="Times New Roman"/>
          <w:sz w:val="24"/>
          <w:szCs w:val="24"/>
        </w:rPr>
        <w:t>co-morbidade</w:t>
      </w:r>
      <w:proofErr w:type="spellEnd"/>
      <w:r w:rsidRPr="00DC3FF0">
        <w:rPr>
          <w:rFonts w:ascii="Times New Roman" w:hAnsi="Times New Roman"/>
          <w:sz w:val="24"/>
          <w:szCs w:val="24"/>
        </w:rPr>
        <w:t xml:space="preserve">, valores baixos de albumina, baixos níveis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doses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/V abaixo de 1,2, valores de hemoglobina &lt;7 g/</w:t>
      </w:r>
      <w:proofErr w:type="spellStart"/>
      <w:r w:rsidRPr="00DC3FF0">
        <w:rPr>
          <w:rFonts w:ascii="Times New Roman" w:hAnsi="Times New Roman"/>
          <w:sz w:val="24"/>
          <w:szCs w:val="24"/>
        </w:rPr>
        <w:t>dL</w:t>
      </w:r>
      <w:proofErr w:type="spellEnd"/>
      <w:r w:rsidRPr="00DC3FF0">
        <w:rPr>
          <w:rFonts w:ascii="Times New Roman" w:hAnsi="Times New Roman"/>
          <w:sz w:val="24"/>
          <w:szCs w:val="24"/>
        </w:rPr>
        <w:t>, níveis baixos de PTH e doença cardiovascular como causa do óbito.</w:t>
      </w:r>
    </w:p>
    <w:p w:rsidR="00B206A4" w:rsidRPr="00DC3FF0" w:rsidRDefault="00B206A4" w:rsidP="00DC3FF0">
      <w:pPr>
        <w:spacing w:after="0" w:line="480" w:lineRule="auto"/>
        <w:jc w:val="both"/>
        <w:textAlignment w:val="baseline"/>
        <w:rPr>
          <w:rFonts w:ascii="Times New Roman" w:hAnsi="Times New Roman"/>
          <w:color w:val="000000"/>
          <w:sz w:val="24"/>
          <w:szCs w:val="24"/>
        </w:rPr>
      </w:pPr>
    </w:p>
    <w:p w:rsidR="00B206A4" w:rsidRPr="00DC3FF0" w:rsidRDefault="00B206A4" w:rsidP="00A12392">
      <w:pPr>
        <w:pStyle w:val="PargrafodaLista"/>
        <w:spacing w:after="0" w:line="480" w:lineRule="auto"/>
        <w:jc w:val="both"/>
        <w:textAlignment w:val="baseline"/>
        <w:rPr>
          <w:rFonts w:ascii="Times New Roman" w:hAnsi="Times New Roman"/>
          <w:b/>
          <w:color w:val="000000"/>
          <w:sz w:val="24"/>
          <w:szCs w:val="24"/>
        </w:rPr>
      </w:pPr>
      <w:r w:rsidRPr="00DC3FF0">
        <w:rPr>
          <w:rFonts w:ascii="Times New Roman" w:hAnsi="Times New Roman"/>
          <w:color w:val="000000"/>
          <w:sz w:val="24"/>
          <w:szCs w:val="24"/>
        </w:rPr>
        <w:t>5</w:t>
      </w:r>
      <w:r w:rsidRPr="00DC3FF0">
        <w:rPr>
          <w:rFonts w:ascii="Times New Roman" w:hAnsi="Times New Roman"/>
          <w:b/>
          <w:color w:val="000000"/>
          <w:sz w:val="24"/>
          <w:szCs w:val="24"/>
        </w:rPr>
        <w:t xml:space="preserve"> CONCLUSÃO </w:t>
      </w:r>
    </w:p>
    <w:p w:rsidR="00B206A4" w:rsidRPr="00DC3FF0" w:rsidRDefault="00B206A4" w:rsidP="00E90FE9">
      <w:pPr>
        <w:pStyle w:val="PargrafodaLista"/>
        <w:spacing w:after="0" w:line="480" w:lineRule="auto"/>
        <w:ind w:left="-142"/>
        <w:jc w:val="both"/>
        <w:textAlignment w:val="baseline"/>
        <w:rPr>
          <w:rFonts w:ascii="Times New Roman" w:hAnsi="Times New Roman"/>
          <w:b/>
          <w:color w:val="000000"/>
          <w:sz w:val="24"/>
          <w:szCs w:val="24"/>
        </w:rPr>
      </w:pPr>
      <w:r w:rsidRPr="00DC3FF0">
        <w:rPr>
          <w:rFonts w:ascii="Times New Roman" w:hAnsi="Times New Roman"/>
          <w:b/>
          <w:color w:val="000000"/>
          <w:sz w:val="24"/>
          <w:szCs w:val="24"/>
        </w:rPr>
        <w:tab/>
      </w:r>
      <w:r w:rsidRPr="00DC3FF0">
        <w:rPr>
          <w:rFonts w:ascii="Times New Roman" w:hAnsi="Times New Roman"/>
          <w:b/>
          <w:color w:val="000000"/>
          <w:sz w:val="24"/>
          <w:szCs w:val="24"/>
        </w:rPr>
        <w:tab/>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b/>
          <w:color w:val="000000"/>
          <w:sz w:val="24"/>
          <w:szCs w:val="24"/>
        </w:rPr>
        <w:tab/>
        <w:t xml:space="preserve">    </w:t>
      </w:r>
      <w:r w:rsidRPr="00DC3FF0">
        <w:rPr>
          <w:rFonts w:ascii="Times New Roman" w:hAnsi="Times New Roman"/>
          <w:sz w:val="24"/>
          <w:szCs w:val="24"/>
        </w:rPr>
        <w:t xml:space="preserve">Os dados em conjunto permitem afirmar que os pacientes portadores de insuficiência renal crônica submetidos à diálise apresentam maiores taxas de mortalidade, quando apresentam mais de 60 anos, um quadro de hipertensão arterial sistêmica instalada, níveis extremos de </w:t>
      </w:r>
      <w:r w:rsidRPr="00DC3FF0">
        <w:rPr>
          <w:rFonts w:ascii="Times New Roman" w:hAnsi="Times New Roman"/>
          <w:sz w:val="24"/>
          <w:szCs w:val="24"/>
        </w:rPr>
        <w:lastRenderedPageBreak/>
        <w:t xml:space="preserve">taxas de albumina, menores frequências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menores valores de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Também mostrou que houve maior mortalidade em pacientes que tiveram níveis intermediários de hemoglobina e níveis maiores de cálcio. Já quanto ao PTH, esse se mostrou baixo tanto para os falecidos quanto para os sobreviventes. Outras variáveis pessoais foram analisadas como gênero, profissão, estado civil, causas de IRC, presença de DM e cardiopatia, causa do óbito, hematócrito, leucócitos, fósforo e produto </w:t>
      </w:r>
      <w:proofErr w:type="spellStart"/>
      <w:r w:rsidRPr="00DC3FF0">
        <w:rPr>
          <w:rFonts w:ascii="Times New Roman" w:hAnsi="Times New Roman"/>
          <w:sz w:val="24"/>
          <w:szCs w:val="24"/>
        </w:rPr>
        <w:t>CaXP</w:t>
      </w:r>
      <w:proofErr w:type="spellEnd"/>
      <w:r w:rsidRPr="00DC3FF0">
        <w:rPr>
          <w:rFonts w:ascii="Times New Roman" w:hAnsi="Times New Roman"/>
          <w:sz w:val="24"/>
          <w:szCs w:val="24"/>
        </w:rPr>
        <w:t xml:space="preserve">. Porém, nenhuma dessas variáveis foram significativas, indicando que não há relação entre a mortalidade e esses fatores.                                                                                             </w:t>
      </w:r>
      <w:r w:rsidRPr="00DC3FF0">
        <w:rPr>
          <w:rFonts w:ascii="Times New Roman" w:hAnsi="Times New Roman"/>
          <w:sz w:val="24"/>
          <w:szCs w:val="24"/>
        </w:rPr>
        <w:tab/>
        <w:t xml:space="preserve">    A curva de sobrevida indicou que há uma maior sobrevida após o quinto ano de tratamento do doente.                                                                                                                                </w:t>
      </w:r>
    </w:p>
    <w:p w:rsidR="00B206A4" w:rsidRPr="00DC3FF0" w:rsidRDefault="00B206A4" w:rsidP="00E90FE9">
      <w:pPr>
        <w:pStyle w:val="PargrafodaLista"/>
        <w:spacing w:after="0" w:line="480" w:lineRule="auto"/>
        <w:ind w:left="-142"/>
        <w:jc w:val="both"/>
        <w:textAlignment w:val="baseline"/>
        <w:rPr>
          <w:rFonts w:ascii="Times New Roman" w:hAnsi="Times New Roman"/>
          <w:sz w:val="24"/>
          <w:szCs w:val="24"/>
        </w:rPr>
      </w:pPr>
      <w:r w:rsidRPr="00DC3FF0">
        <w:rPr>
          <w:rFonts w:ascii="Times New Roman" w:hAnsi="Times New Roman"/>
          <w:sz w:val="24"/>
          <w:szCs w:val="24"/>
        </w:rPr>
        <w:tab/>
        <w:t xml:space="preserve">   Concluímos, pois, que é necessário um acompanhamento rigoroso dos pacientes em diálise para controle das variáveis como albumina, </w:t>
      </w:r>
      <w:proofErr w:type="spellStart"/>
      <w:r w:rsidRPr="00DC3FF0">
        <w:rPr>
          <w:rFonts w:ascii="Times New Roman" w:hAnsi="Times New Roman"/>
          <w:sz w:val="24"/>
          <w:szCs w:val="24"/>
        </w:rPr>
        <w:t>ferritina</w:t>
      </w:r>
      <w:proofErr w:type="spellEnd"/>
      <w:r w:rsidRPr="00DC3FF0">
        <w:rPr>
          <w:rFonts w:ascii="Times New Roman" w:hAnsi="Times New Roman"/>
          <w:sz w:val="24"/>
          <w:szCs w:val="24"/>
        </w:rPr>
        <w:t xml:space="preserve">, hemoglobina, cálcio e PTH. Além de tentar manter altas </w:t>
      </w:r>
      <w:proofErr w:type="spellStart"/>
      <w:r w:rsidRPr="00DC3FF0">
        <w:rPr>
          <w:rFonts w:ascii="Times New Roman" w:hAnsi="Times New Roman"/>
          <w:sz w:val="24"/>
          <w:szCs w:val="24"/>
        </w:rPr>
        <w:t>freqüências</w:t>
      </w:r>
      <w:proofErr w:type="spellEnd"/>
      <w:r w:rsidRPr="00DC3FF0">
        <w:rPr>
          <w:rFonts w:ascii="Times New Roman" w:hAnsi="Times New Roman"/>
          <w:sz w:val="24"/>
          <w:szCs w:val="24"/>
        </w:rPr>
        <w:t xml:space="preserve"> de </w:t>
      </w:r>
      <w:proofErr w:type="spellStart"/>
      <w:r w:rsidRPr="00DC3FF0">
        <w:rPr>
          <w:rFonts w:ascii="Times New Roman" w:hAnsi="Times New Roman"/>
          <w:sz w:val="24"/>
          <w:szCs w:val="24"/>
        </w:rPr>
        <w:t>Kt</w:t>
      </w:r>
      <w:proofErr w:type="spellEnd"/>
      <w:r w:rsidRPr="00DC3FF0">
        <w:rPr>
          <w:rFonts w:ascii="Times New Roman" w:hAnsi="Times New Roman"/>
          <w:sz w:val="24"/>
          <w:szCs w:val="24"/>
        </w:rPr>
        <w:t xml:space="preserve">/V, e controle rigoroso das </w:t>
      </w:r>
      <w:proofErr w:type="spellStart"/>
      <w:r w:rsidRPr="00DC3FF0">
        <w:rPr>
          <w:rFonts w:ascii="Times New Roman" w:hAnsi="Times New Roman"/>
          <w:sz w:val="24"/>
          <w:szCs w:val="24"/>
        </w:rPr>
        <w:t>co-morbidades</w:t>
      </w:r>
      <w:proofErr w:type="spellEnd"/>
      <w:r w:rsidRPr="00DC3FF0">
        <w:rPr>
          <w:rFonts w:ascii="Times New Roman" w:hAnsi="Times New Roman"/>
          <w:sz w:val="24"/>
          <w:szCs w:val="24"/>
        </w:rPr>
        <w:t>. Com o objetivo de otimizar o tratamento desses pacientes melhorando a qualidade de vida e as taxas de sobrevida.</w:t>
      </w:r>
    </w:p>
    <w:p w:rsidR="00B206A4" w:rsidRPr="005526FB" w:rsidRDefault="00B206A4" w:rsidP="00986AED">
      <w:pPr>
        <w:spacing w:after="0" w:line="360" w:lineRule="auto"/>
        <w:rPr>
          <w:rFonts w:ascii="Times New Roman" w:hAnsi="Times New Roman"/>
          <w:i/>
          <w:sz w:val="24"/>
          <w:szCs w:val="24"/>
          <w:lang w:val="en-US"/>
        </w:rPr>
      </w:pPr>
      <w:r w:rsidRPr="005526FB">
        <w:rPr>
          <w:rStyle w:val="hps"/>
          <w:rFonts w:ascii="Times New Roman" w:hAnsi="Times New Roman"/>
          <w:sz w:val="24"/>
          <w:szCs w:val="24"/>
          <w:lang w:val="en-US"/>
        </w:rPr>
        <w:t>Survival and</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risk factors</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of mortality in</w:t>
      </w:r>
      <w:r w:rsidRPr="005526FB">
        <w:rPr>
          <w:rFonts w:ascii="Times New Roman" w:hAnsi="Times New Roman"/>
          <w:sz w:val="24"/>
          <w:szCs w:val="24"/>
          <w:lang w:val="en-US"/>
        </w:rPr>
        <w:t xml:space="preserve"> </w:t>
      </w:r>
      <w:r w:rsidRPr="005526FB">
        <w:rPr>
          <w:rStyle w:val="hps"/>
          <w:rFonts w:ascii="Times New Roman" w:hAnsi="Times New Roman"/>
          <w:sz w:val="24"/>
          <w:szCs w:val="24"/>
          <w:lang w:val="en-US"/>
        </w:rPr>
        <w:t>hemodialysis patients</w:t>
      </w:r>
      <w:r w:rsidR="00FD4840">
        <w:rPr>
          <w:rStyle w:val="hps"/>
          <w:rFonts w:ascii="Times New Roman" w:hAnsi="Times New Roman"/>
          <w:i/>
          <w:sz w:val="24"/>
          <w:szCs w:val="24"/>
          <w:lang w:val="en-US"/>
        </w:rPr>
        <w:t xml:space="preserve"> </w:t>
      </w:r>
    </w:p>
    <w:p w:rsidR="00B206A4" w:rsidRPr="00986AED" w:rsidRDefault="00B206A4" w:rsidP="00986AED">
      <w:pPr>
        <w:spacing w:line="480" w:lineRule="auto"/>
        <w:jc w:val="both"/>
        <w:rPr>
          <w:rFonts w:ascii="Times New Roman" w:hAnsi="Times New Roman"/>
          <w:b/>
          <w:sz w:val="24"/>
          <w:szCs w:val="24"/>
          <w:lang w:val="en-US"/>
        </w:rPr>
      </w:pPr>
      <w:r w:rsidRPr="00986AED">
        <w:rPr>
          <w:rFonts w:ascii="Times New Roman" w:hAnsi="Times New Roman"/>
          <w:b/>
          <w:sz w:val="24"/>
          <w:szCs w:val="24"/>
          <w:lang w:val="en-US"/>
        </w:rPr>
        <w:t xml:space="preserve">ABSTRACT </w:t>
      </w:r>
    </w:p>
    <w:p w:rsidR="00B206A4" w:rsidRPr="00986AED" w:rsidRDefault="00B206A4" w:rsidP="00986AED">
      <w:pPr>
        <w:spacing w:line="480" w:lineRule="auto"/>
        <w:jc w:val="both"/>
        <w:rPr>
          <w:rFonts w:ascii="Times New Roman" w:hAnsi="Times New Roman"/>
          <w:b/>
          <w:sz w:val="24"/>
          <w:szCs w:val="24"/>
          <w:lang w:val="en-US"/>
        </w:rPr>
      </w:pPr>
      <w:r w:rsidRPr="00DC3FF0">
        <w:rPr>
          <w:rFonts w:ascii="Times New Roman" w:hAnsi="Times New Roman"/>
          <w:sz w:val="24"/>
          <w:szCs w:val="24"/>
          <w:shd w:val="clear" w:color="auto" w:fill="FFFFFF"/>
          <w:lang w:val="en-US"/>
        </w:rPr>
        <w:t xml:space="preserve">The objective of this study is to determine the pattern of mortality in hemodialysis patients at Kidney Center Pro- Renal </w:t>
      </w:r>
      <w:proofErr w:type="spellStart"/>
      <w:r w:rsidRPr="00DC3FF0">
        <w:rPr>
          <w:rFonts w:ascii="Times New Roman" w:hAnsi="Times New Roman"/>
          <w:sz w:val="24"/>
          <w:szCs w:val="24"/>
          <w:shd w:val="clear" w:color="auto" w:fill="FFFFFF"/>
          <w:lang w:val="en-US"/>
        </w:rPr>
        <w:t>Barbacena</w:t>
      </w:r>
      <w:proofErr w:type="spellEnd"/>
      <w:r w:rsidRPr="00DC3FF0">
        <w:rPr>
          <w:rFonts w:ascii="Times New Roman" w:hAnsi="Times New Roman"/>
          <w:sz w:val="24"/>
          <w:szCs w:val="24"/>
          <w:shd w:val="clear" w:color="auto" w:fill="FFFFFF"/>
          <w:lang w:val="en-US"/>
        </w:rPr>
        <w:t xml:space="preserve"> and determine the influence of the variables mentioned in patient survival from August 2004 to July 2011.</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This is a cross-sectional study consisting of a sample of 202 hemodialysis patients. Data analysis was performed on a microcomputer, with statistical processing resources "software" (STATA 9.2).Frequency distributions have been constructed and measurements, standard deviations and percentages given for each variable have been calculated.</w:t>
      </w:r>
      <w:r w:rsidRPr="00DC3FF0">
        <w:rPr>
          <w:rFonts w:ascii="Times New Roman" w:hAnsi="Times New Roman"/>
          <w:sz w:val="24"/>
          <w:szCs w:val="24"/>
          <w:lang w:val="en-US"/>
        </w:rPr>
        <w:br/>
      </w:r>
      <w:r w:rsidRPr="00DC3FF0">
        <w:rPr>
          <w:rFonts w:ascii="Times New Roman" w:hAnsi="Times New Roman"/>
          <w:sz w:val="24"/>
          <w:szCs w:val="24"/>
          <w:shd w:val="clear" w:color="auto" w:fill="FFFFFF"/>
          <w:lang w:val="en-US"/>
        </w:rPr>
        <w:t xml:space="preserve">The survival rate was 85% at the end of the first year of treatment and 67% in the fifth year. The main causes of death were cardiovascular disease (34.4%), other causes (21.3%) and </w:t>
      </w:r>
      <w:r w:rsidRPr="00DC3FF0">
        <w:rPr>
          <w:rFonts w:ascii="Times New Roman" w:hAnsi="Times New Roman"/>
          <w:sz w:val="24"/>
          <w:szCs w:val="24"/>
          <w:shd w:val="clear" w:color="auto" w:fill="FFFFFF"/>
          <w:lang w:val="en-US"/>
        </w:rPr>
        <w:lastRenderedPageBreak/>
        <w:t xml:space="preserve">infectious diseases (16.4%). Values of </w:t>
      </w:r>
      <w:proofErr w:type="spellStart"/>
      <w:r w:rsidRPr="00DC3FF0">
        <w:rPr>
          <w:rFonts w:ascii="Times New Roman" w:hAnsi="Times New Roman"/>
          <w:sz w:val="24"/>
          <w:szCs w:val="24"/>
          <w:shd w:val="clear" w:color="auto" w:fill="FFFFFF"/>
          <w:lang w:val="en-US"/>
        </w:rPr>
        <w:t>Kt</w:t>
      </w:r>
      <w:proofErr w:type="spellEnd"/>
      <w:r w:rsidRPr="00DC3FF0">
        <w:rPr>
          <w:rFonts w:ascii="Times New Roman" w:hAnsi="Times New Roman"/>
          <w:sz w:val="24"/>
          <w:szCs w:val="24"/>
          <w:shd w:val="clear" w:color="auto" w:fill="FFFFFF"/>
          <w:lang w:val="en-US"/>
        </w:rPr>
        <w:t xml:space="preserve"> / V above 1.3, hemoglobin&gt; 7 g / </w:t>
      </w:r>
      <w:proofErr w:type="spellStart"/>
      <w:r w:rsidRPr="00DC3FF0">
        <w:rPr>
          <w:rFonts w:ascii="Times New Roman" w:hAnsi="Times New Roman"/>
          <w:sz w:val="24"/>
          <w:szCs w:val="24"/>
          <w:shd w:val="clear" w:color="auto" w:fill="FFFFFF"/>
          <w:lang w:val="en-US"/>
        </w:rPr>
        <w:t>dL</w:t>
      </w:r>
      <w:proofErr w:type="spellEnd"/>
      <w:r w:rsidRPr="00DC3FF0">
        <w:rPr>
          <w:rFonts w:ascii="Times New Roman" w:hAnsi="Times New Roman"/>
          <w:sz w:val="24"/>
          <w:szCs w:val="24"/>
          <w:shd w:val="clear" w:color="auto" w:fill="FFFFFF"/>
          <w:lang w:val="en-US"/>
        </w:rPr>
        <w:t xml:space="preserve">, ferritin between 200 and 800, PTH &lt;400, serum albumin&gt; 3.5 g / </w:t>
      </w:r>
      <w:proofErr w:type="spellStart"/>
      <w:r w:rsidRPr="00DC3FF0">
        <w:rPr>
          <w:rFonts w:ascii="Times New Roman" w:hAnsi="Times New Roman"/>
          <w:sz w:val="24"/>
          <w:szCs w:val="24"/>
          <w:shd w:val="clear" w:color="auto" w:fill="FFFFFF"/>
          <w:lang w:val="en-US"/>
        </w:rPr>
        <w:t>dL</w:t>
      </w:r>
      <w:proofErr w:type="spellEnd"/>
      <w:r w:rsidRPr="00DC3FF0">
        <w:rPr>
          <w:rFonts w:ascii="Times New Roman" w:hAnsi="Times New Roman"/>
          <w:sz w:val="24"/>
          <w:szCs w:val="24"/>
          <w:shd w:val="clear" w:color="auto" w:fill="FFFFFF"/>
          <w:lang w:val="en-US"/>
        </w:rPr>
        <w:t xml:space="preserve"> are associated with bett</w:t>
      </w:r>
      <w:r>
        <w:rPr>
          <w:rFonts w:ascii="Times New Roman" w:hAnsi="Times New Roman"/>
          <w:sz w:val="24"/>
          <w:szCs w:val="24"/>
          <w:shd w:val="clear" w:color="auto" w:fill="FFFFFF"/>
          <w:lang w:val="en-US"/>
        </w:rPr>
        <w:t>er survival rates. V</w:t>
      </w:r>
      <w:r w:rsidRPr="00DC3FF0">
        <w:rPr>
          <w:rFonts w:ascii="Times New Roman" w:hAnsi="Times New Roman"/>
          <w:sz w:val="24"/>
          <w:szCs w:val="24"/>
          <w:shd w:val="clear" w:color="auto" w:fill="FFFFFF"/>
          <w:lang w:val="en-US"/>
        </w:rPr>
        <w:t xml:space="preserve">ariables albumin, </w:t>
      </w:r>
      <w:proofErr w:type="spellStart"/>
      <w:r w:rsidRPr="00DC3FF0">
        <w:rPr>
          <w:rFonts w:ascii="Times New Roman" w:hAnsi="Times New Roman"/>
          <w:sz w:val="24"/>
          <w:szCs w:val="24"/>
          <w:shd w:val="clear" w:color="auto" w:fill="FFFFFF"/>
          <w:lang w:val="en-US"/>
        </w:rPr>
        <w:t>Kt</w:t>
      </w:r>
      <w:proofErr w:type="spellEnd"/>
      <w:r w:rsidRPr="00DC3FF0">
        <w:rPr>
          <w:rFonts w:ascii="Times New Roman" w:hAnsi="Times New Roman"/>
          <w:sz w:val="24"/>
          <w:szCs w:val="24"/>
          <w:shd w:val="clear" w:color="auto" w:fill="FFFFFF"/>
          <w:lang w:val="en-US"/>
        </w:rPr>
        <w:t xml:space="preserve"> / V, hemoglobin, ferritin and PTH are related to survival and factors are predictive of mortality risk for patients </w:t>
      </w:r>
      <w:proofErr w:type="spellStart"/>
      <w:r w:rsidRPr="00DC3FF0">
        <w:rPr>
          <w:rFonts w:ascii="Times New Roman" w:hAnsi="Times New Roman"/>
          <w:sz w:val="24"/>
          <w:szCs w:val="24"/>
          <w:shd w:val="clear" w:color="auto" w:fill="FFFFFF"/>
          <w:lang w:val="en-US"/>
        </w:rPr>
        <w:t>hemodyalisis</w:t>
      </w:r>
      <w:proofErr w:type="spellEnd"/>
      <w:r w:rsidRPr="00DC3FF0">
        <w:rPr>
          <w:rFonts w:ascii="Times New Roman" w:hAnsi="Times New Roman"/>
          <w:sz w:val="24"/>
          <w:szCs w:val="24"/>
          <w:shd w:val="clear" w:color="auto" w:fill="FFFFFF"/>
          <w:lang w:val="en-US"/>
        </w:rPr>
        <w:t>. To obtain good results prognosis compared to patients receiving hemodialysis treatment, it is essential that the variables analyzed in the study are properly evaluated.</w:t>
      </w:r>
    </w:p>
    <w:p w:rsidR="00B206A4" w:rsidRPr="00DC3FF0" w:rsidRDefault="00B206A4" w:rsidP="00986AED">
      <w:pPr>
        <w:spacing w:after="0" w:line="360" w:lineRule="auto"/>
        <w:rPr>
          <w:rFonts w:ascii="Times New Roman" w:hAnsi="Times New Roman"/>
          <w:sz w:val="24"/>
          <w:szCs w:val="24"/>
        </w:rPr>
      </w:pPr>
      <w:r w:rsidRPr="00DC3FF0">
        <w:rPr>
          <w:rFonts w:ascii="Times New Roman" w:hAnsi="Times New Roman"/>
          <w:sz w:val="24"/>
          <w:szCs w:val="24"/>
          <w:lang w:val="en-US"/>
        </w:rPr>
        <w:t xml:space="preserve">Key-words: </w:t>
      </w:r>
      <w:r w:rsidRPr="00DC3FF0">
        <w:rPr>
          <w:rStyle w:val="hps"/>
          <w:rFonts w:ascii="Times New Roman" w:hAnsi="Times New Roman"/>
          <w:sz w:val="24"/>
          <w:szCs w:val="24"/>
          <w:lang w:val="en-US"/>
        </w:rPr>
        <w:t>Chronic Kidney Disease</w:t>
      </w:r>
      <w:r w:rsidRPr="00DC3FF0">
        <w:rPr>
          <w:rFonts w:ascii="Times New Roman" w:hAnsi="Times New Roman"/>
          <w:sz w:val="24"/>
          <w:szCs w:val="24"/>
          <w:lang w:val="en-US"/>
        </w:rPr>
        <w:t xml:space="preserve">. </w:t>
      </w:r>
      <w:proofErr w:type="spellStart"/>
      <w:r w:rsidRPr="00DC3FF0">
        <w:rPr>
          <w:rStyle w:val="hps"/>
          <w:rFonts w:ascii="Times New Roman" w:hAnsi="Times New Roman"/>
          <w:sz w:val="24"/>
          <w:szCs w:val="24"/>
        </w:rPr>
        <w:t>Dialysis</w:t>
      </w:r>
      <w:proofErr w:type="spellEnd"/>
      <w:r w:rsidRPr="00DC3FF0">
        <w:rPr>
          <w:rFonts w:ascii="Times New Roman" w:hAnsi="Times New Roman"/>
          <w:sz w:val="24"/>
          <w:szCs w:val="24"/>
        </w:rPr>
        <w:t xml:space="preserve">. </w:t>
      </w:r>
      <w:proofErr w:type="spellStart"/>
      <w:r w:rsidRPr="00DC3FF0">
        <w:rPr>
          <w:rStyle w:val="hps"/>
          <w:rFonts w:ascii="Times New Roman" w:hAnsi="Times New Roman"/>
          <w:sz w:val="24"/>
          <w:szCs w:val="24"/>
        </w:rPr>
        <w:t>Survival</w:t>
      </w:r>
      <w:proofErr w:type="spellEnd"/>
      <w:r w:rsidRPr="00DC3FF0">
        <w:rPr>
          <w:rFonts w:ascii="Times New Roman" w:hAnsi="Times New Roman"/>
          <w:sz w:val="24"/>
          <w:szCs w:val="24"/>
        </w:rPr>
        <w:t xml:space="preserve">. </w:t>
      </w:r>
      <w:proofErr w:type="spellStart"/>
      <w:r w:rsidRPr="00DC3FF0">
        <w:rPr>
          <w:rFonts w:ascii="Times New Roman" w:hAnsi="Times New Roman"/>
          <w:sz w:val="24"/>
          <w:szCs w:val="24"/>
        </w:rPr>
        <w:t>Mortality</w:t>
      </w:r>
      <w:proofErr w:type="spellEnd"/>
    </w:p>
    <w:p w:rsidR="00B206A4" w:rsidRPr="00DC3FF0" w:rsidRDefault="00B206A4" w:rsidP="00BC2F0A">
      <w:pPr>
        <w:spacing w:after="0" w:line="360" w:lineRule="auto"/>
        <w:rPr>
          <w:rFonts w:ascii="Times New Roman" w:hAnsi="Times New Roman"/>
          <w:sz w:val="24"/>
          <w:szCs w:val="24"/>
        </w:rPr>
      </w:pPr>
    </w:p>
    <w:p w:rsidR="00B206A4" w:rsidRPr="00DC3FF0" w:rsidRDefault="00B206A4" w:rsidP="00BC2F0A">
      <w:pPr>
        <w:spacing w:after="0" w:line="360" w:lineRule="auto"/>
        <w:rPr>
          <w:rFonts w:ascii="Times New Roman" w:hAnsi="Times New Roman"/>
          <w:b/>
          <w:color w:val="000000"/>
          <w:sz w:val="24"/>
          <w:szCs w:val="24"/>
          <w:lang w:eastAsia="pt-BR"/>
        </w:rPr>
      </w:pPr>
      <w:r w:rsidRPr="00DC3FF0">
        <w:rPr>
          <w:rFonts w:ascii="Times New Roman" w:hAnsi="Times New Roman"/>
          <w:b/>
          <w:color w:val="000000"/>
          <w:sz w:val="24"/>
          <w:szCs w:val="24"/>
          <w:lang w:eastAsia="pt-BR"/>
        </w:rPr>
        <w:t xml:space="preserve">REFERÊNCIAS BIBLIOGRÁFICAS </w:t>
      </w:r>
    </w:p>
    <w:p w:rsidR="00B206A4" w:rsidRPr="00DC3FF0" w:rsidRDefault="00B206A4" w:rsidP="00BC2F0A">
      <w:pPr>
        <w:spacing w:line="360" w:lineRule="auto"/>
        <w:rPr>
          <w:rFonts w:ascii="Times New Roman" w:hAnsi="Times New Roman"/>
          <w:sz w:val="24"/>
          <w:szCs w:val="24"/>
          <w:lang w:eastAsia="pt-BR"/>
        </w:rPr>
      </w:pPr>
    </w:p>
    <w:p w:rsidR="00B206A4" w:rsidRPr="00DC3FF0" w:rsidRDefault="00552F06" w:rsidP="00DC3FF0">
      <w:pPr>
        <w:spacing w:after="0" w:line="360" w:lineRule="auto"/>
        <w:rPr>
          <w:rFonts w:ascii="Times New Roman" w:hAnsi="Times New Roman"/>
          <w:sz w:val="24"/>
          <w:szCs w:val="24"/>
          <w:lang w:val="en-US" w:eastAsia="pt-BR"/>
        </w:rPr>
      </w:pPr>
      <w:hyperlink r:id="rId9" w:history="1">
        <w:r w:rsidR="00B206A4" w:rsidRPr="00FE3D83">
          <w:rPr>
            <w:rStyle w:val="Hyperlink"/>
            <w:rFonts w:ascii="Times New Roman" w:hAnsi="Times New Roman"/>
            <w:color w:val="auto"/>
            <w:sz w:val="24"/>
            <w:szCs w:val="24"/>
            <w:u w:val="none"/>
            <w:lang w:eastAsia="pt-BR"/>
          </w:rPr>
          <w:t>AJIRO, J</w:t>
        </w:r>
      </w:hyperlink>
      <w:r w:rsidR="00B206A4" w:rsidRPr="00FE3D83">
        <w:rPr>
          <w:rFonts w:ascii="Times New Roman" w:hAnsi="Times New Roman"/>
          <w:sz w:val="24"/>
          <w:szCs w:val="24"/>
          <w:lang w:eastAsia="pt-BR"/>
        </w:rPr>
        <w:t xml:space="preserve">. et al. </w:t>
      </w:r>
      <w:r w:rsidR="00B206A4" w:rsidRPr="00DC3FF0">
        <w:rPr>
          <w:rFonts w:ascii="Times New Roman" w:hAnsi="Times New Roman"/>
          <w:sz w:val="24"/>
          <w:szCs w:val="24"/>
          <w:lang w:val="en-US" w:eastAsia="pt-BR"/>
        </w:rPr>
        <w:t>Mortality predictors after 10 years of dialysis: a prospective study of Japanese hemodialysis patients.</w:t>
      </w:r>
      <w:r w:rsidR="00B206A4" w:rsidRPr="00DC3FF0">
        <w:rPr>
          <w:rFonts w:ascii="Times New Roman" w:hAnsi="Times New Roman"/>
          <w:b/>
          <w:bCs/>
          <w:sz w:val="24"/>
          <w:szCs w:val="24"/>
          <w:lang w:val="en-US" w:eastAsia="pt-BR"/>
        </w:rPr>
        <w:t xml:space="preserve"> Clinical Journal of the American Society of </w:t>
      </w:r>
      <w:proofErr w:type="spellStart"/>
      <w:r w:rsidR="00B206A4" w:rsidRPr="00DC3FF0">
        <w:rPr>
          <w:rFonts w:ascii="Times New Roman" w:hAnsi="Times New Roman"/>
          <w:b/>
          <w:bCs/>
          <w:sz w:val="24"/>
          <w:szCs w:val="24"/>
          <w:lang w:val="en-US" w:eastAsia="pt-BR"/>
        </w:rPr>
        <w:t>Nefhrology</w:t>
      </w:r>
      <w:proofErr w:type="spellEnd"/>
      <w:r w:rsidR="00B206A4" w:rsidRPr="00DC3FF0">
        <w:rPr>
          <w:rFonts w:ascii="Times New Roman" w:hAnsi="Times New Roman"/>
          <w:bCs/>
          <w:sz w:val="24"/>
          <w:szCs w:val="24"/>
          <w:lang w:val="en-US" w:eastAsia="pt-BR"/>
        </w:rPr>
        <w:t>, Washington,</w:t>
      </w:r>
      <w:r w:rsidR="00B206A4" w:rsidRPr="00DC3FF0">
        <w:rPr>
          <w:rFonts w:ascii="Times New Roman" w:hAnsi="Times New Roman"/>
          <w:i/>
          <w:iCs/>
          <w:sz w:val="24"/>
          <w:szCs w:val="24"/>
          <w:lang w:val="en-US" w:eastAsia="pt-BR"/>
        </w:rPr>
        <w:t xml:space="preserve"> </w:t>
      </w:r>
      <w:r w:rsidR="00B206A4" w:rsidRPr="00DC3FF0">
        <w:rPr>
          <w:rFonts w:ascii="Times New Roman" w:hAnsi="Times New Roman"/>
          <w:sz w:val="24"/>
          <w:szCs w:val="24"/>
          <w:lang w:val="en-US" w:eastAsia="pt-BR"/>
        </w:rPr>
        <w:t>v.2, n.4, p.653-660, 2007.</w:t>
      </w:r>
    </w:p>
    <w:p w:rsidR="00B206A4" w:rsidRPr="00DC3FF0" w:rsidRDefault="00B206A4" w:rsidP="00BC2F0A">
      <w:pPr>
        <w:spacing w:after="0" w:line="360" w:lineRule="auto"/>
        <w:rPr>
          <w:rFonts w:ascii="Times New Roman" w:hAnsi="Times New Roman"/>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ALMEIDA, F.A.</w:t>
      </w:r>
      <w:r>
        <w:rPr>
          <w:rFonts w:ascii="Times New Roman" w:hAnsi="Times New Roman"/>
          <w:color w:val="000000"/>
          <w:sz w:val="24"/>
          <w:szCs w:val="24"/>
        </w:rPr>
        <w:t xml:space="preserve"> et al.</w:t>
      </w:r>
      <w:r w:rsidRPr="00DC3FF0">
        <w:rPr>
          <w:rFonts w:ascii="Times New Roman" w:hAnsi="Times New Roman"/>
          <w:color w:val="000000"/>
          <w:sz w:val="24"/>
          <w:szCs w:val="24"/>
        </w:rPr>
        <w:t xml:space="preserve"> Mortalidade global e cardiovascular e fatores de risco de pacientes em hemodiálise.</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Arquivos Brasileiros de Cardiologia</w:t>
      </w:r>
      <w:r w:rsidRPr="00DC3FF0">
        <w:rPr>
          <w:rFonts w:ascii="Times New Roman" w:hAnsi="Times New Roman"/>
          <w:color w:val="000000"/>
          <w:sz w:val="24"/>
          <w:szCs w:val="24"/>
        </w:rPr>
        <w:t>, São Paulo, v.94, n.2, p. 201-206, 2010.</w:t>
      </w:r>
      <w:r w:rsidRPr="00DC3FF0">
        <w:rPr>
          <w:rFonts w:ascii="Times New Roman" w:hAnsi="Times New Roman"/>
          <w:i/>
          <w:iCs/>
          <w:color w:val="2DD46E"/>
          <w:sz w:val="24"/>
          <w:szCs w:val="24"/>
        </w:rPr>
        <w:t xml:space="preserve"> </w:t>
      </w:r>
    </w:p>
    <w:p w:rsidR="00B206A4" w:rsidRPr="00DC3FF0" w:rsidRDefault="00B206A4" w:rsidP="00BC2F0A">
      <w:pPr>
        <w:spacing w:after="0" w:line="360" w:lineRule="auto"/>
        <w:ind w:firstLine="60"/>
        <w:rPr>
          <w:rStyle w:val="apple-converted-space"/>
          <w:rFonts w:ascii="Times New Roman" w:hAnsi="Times New Roman"/>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5526FB">
        <w:rPr>
          <w:rFonts w:ascii="Times New Roman" w:hAnsi="Times New Roman"/>
          <w:color w:val="000000"/>
          <w:sz w:val="24"/>
          <w:szCs w:val="24"/>
        </w:rPr>
        <w:t xml:space="preserve">AMMIRATI, A. L. </w:t>
      </w:r>
      <w:proofErr w:type="gramStart"/>
      <w:r w:rsidRPr="005526FB">
        <w:rPr>
          <w:rFonts w:ascii="Times New Roman" w:hAnsi="Times New Roman"/>
          <w:color w:val="000000"/>
          <w:sz w:val="24"/>
          <w:szCs w:val="24"/>
        </w:rPr>
        <w:t>et</w:t>
      </w:r>
      <w:proofErr w:type="gramEnd"/>
      <w:r w:rsidRPr="005526FB">
        <w:rPr>
          <w:rFonts w:ascii="Times New Roman" w:hAnsi="Times New Roman"/>
          <w:color w:val="000000"/>
          <w:sz w:val="24"/>
          <w:szCs w:val="24"/>
        </w:rPr>
        <w:t xml:space="preserve"> al. </w:t>
      </w:r>
      <w:r w:rsidRPr="00DC3FF0">
        <w:rPr>
          <w:rFonts w:ascii="Times New Roman" w:hAnsi="Times New Roman"/>
          <w:color w:val="000000"/>
          <w:sz w:val="24"/>
          <w:szCs w:val="24"/>
        </w:rPr>
        <w:t xml:space="preserve">Variação dos níveis de hemoglobina de pacientes em hemodiálise tratados com </w:t>
      </w:r>
      <w:proofErr w:type="spellStart"/>
      <w:r w:rsidRPr="00DC3FF0">
        <w:rPr>
          <w:rFonts w:ascii="Times New Roman" w:hAnsi="Times New Roman"/>
          <w:color w:val="000000"/>
          <w:sz w:val="24"/>
          <w:szCs w:val="24"/>
        </w:rPr>
        <w:t>eritropoetina</w:t>
      </w:r>
      <w:proofErr w:type="spellEnd"/>
      <w:r w:rsidRPr="00DC3FF0">
        <w:rPr>
          <w:rFonts w:ascii="Times New Roman" w:hAnsi="Times New Roman"/>
          <w:color w:val="000000"/>
          <w:sz w:val="24"/>
          <w:szCs w:val="24"/>
        </w:rPr>
        <w:t>: uma experiência brasileira.</w:t>
      </w:r>
      <w:r w:rsidRPr="00DC3FF0">
        <w:rPr>
          <w:rStyle w:val="apple-converted-space"/>
          <w:rFonts w:ascii="Times New Roman" w:hAnsi="Times New Roman"/>
          <w:i/>
          <w:iCs/>
          <w:color w:val="000000"/>
          <w:sz w:val="24"/>
          <w:szCs w:val="24"/>
        </w:rPr>
        <w:t> </w:t>
      </w:r>
      <w:r w:rsidRPr="00DC3FF0">
        <w:rPr>
          <w:rFonts w:ascii="Times New Roman" w:hAnsi="Times New Roman"/>
          <w:b/>
          <w:iCs/>
          <w:color w:val="000000"/>
          <w:sz w:val="24"/>
          <w:szCs w:val="24"/>
        </w:rPr>
        <w:t xml:space="preserve">Revista da Associação Médica </w:t>
      </w:r>
      <w:proofErr w:type="spellStart"/>
      <w:r w:rsidRPr="00DC3FF0">
        <w:rPr>
          <w:rFonts w:ascii="Times New Roman" w:hAnsi="Times New Roman"/>
          <w:b/>
          <w:iCs/>
          <w:color w:val="000000"/>
          <w:sz w:val="24"/>
          <w:szCs w:val="24"/>
        </w:rPr>
        <w:t>Brasileira</w:t>
      </w:r>
      <w:r w:rsidRPr="00DC3FF0">
        <w:rPr>
          <w:rFonts w:ascii="Times New Roman" w:hAnsi="Times New Roman"/>
          <w:i/>
          <w:iCs/>
          <w:color w:val="000000"/>
          <w:sz w:val="24"/>
          <w:szCs w:val="24"/>
        </w:rPr>
        <w:t>,</w:t>
      </w:r>
      <w:r w:rsidRPr="00DC3FF0">
        <w:rPr>
          <w:rFonts w:ascii="Times New Roman" w:hAnsi="Times New Roman"/>
          <w:iCs/>
          <w:color w:val="000000"/>
          <w:sz w:val="24"/>
          <w:szCs w:val="24"/>
        </w:rPr>
        <w:t>São</w:t>
      </w:r>
      <w:proofErr w:type="spellEnd"/>
      <w:r w:rsidRPr="00DC3FF0">
        <w:rPr>
          <w:rFonts w:ascii="Times New Roman" w:hAnsi="Times New Roman"/>
          <w:iCs/>
          <w:color w:val="000000"/>
          <w:sz w:val="24"/>
          <w:szCs w:val="24"/>
        </w:rPr>
        <w:t xml:space="preserve"> Paulo,</w:t>
      </w:r>
      <w:r w:rsidRPr="00DC3FF0">
        <w:rPr>
          <w:rFonts w:ascii="Times New Roman" w:hAnsi="Times New Roman"/>
          <w:i/>
          <w:iCs/>
          <w:color w:val="000000"/>
          <w:sz w:val="24"/>
          <w:szCs w:val="24"/>
        </w:rPr>
        <w:t xml:space="preserve"> </w:t>
      </w:r>
      <w:r w:rsidRPr="00DC3FF0">
        <w:rPr>
          <w:rFonts w:ascii="Times New Roman" w:hAnsi="Times New Roman"/>
          <w:iCs/>
          <w:color w:val="000000"/>
          <w:sz w:val="24"/>
          <w:szCs w:val="24"/>
        </w:rPr>
        <w:t>v</w:t>
      </w:r>
      <w:r w:rsidRPr="00DC3FF0">
        <w:rPr>
          <w:rFonts w:ascii="Times New Roman" w:hAnsi="Times New Roman"/>
          <w:color w:val="000000"/>
          <w:sz w:val="24"/>
          <w:szCs w:val="24"/>
        </w:rPr>
        <w:t>. 56, n.2, p. 209-213, 2010.</w:t>
      </w:r>
    </w:p>
    <w:p w:rsidR="00B206A4" w:rsidRPr="00DC3FF0" w:rsidRDefault="00B206A4" w:rsidP="00D23B8C">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ARANTES, R. L. Avaliação do risco cardiovascular em pacientes com doença renal crônica – Importância e limitações dos diferentes métodos. </w:t>
      </w:r>
      <w:r w:rsidRPr="00DC3FF0">
        <w:rPr>
          <w:rFonts w:ascii="Times New Roman" w:hAnsi="Times New Roman"/>
          <w:b/>
          <w:color w:val="000000"/>
          <w:sz w:val="24"/>
          <w:szCs w:val="24"/>
          <w:lang w:eastAsia="pt-BR"/>
        </w:rPr>
        <w:t>Revista Brasileira de Hipertensão</w:t>
      </w:r>
      <w:r w:rsidRPr="00DC3FF0">
        <w:rPr>
          <w:rFonts w:ascii="Times New Roman" w:hAnsi="Times New Roman"/>
          <w:color w:val="000000"/>
          <w:sz w:val="24"/>
          <w:szCs w:val="24"/>
          <w:lang w:eastAsia="pt-BR"/>
        </w:rPr>
        <w:t>, Rio de Janeiro, v. 15, n.3, p.173-176, 2008.</w:t>
      </w:r>
    </w:p>
    <w:p w:rsidR="00B206A4" w:rsidRPr="00DC3FF0" w:rsidRDefault="00B206A4" w:rsidP="00BC2F0A">
      <w:pPr>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lang w:eastAsia="pt-BR"/>
        </w:rPr>
      </w:pPr>
      <w:r w:rsidRPr="00FE3D83">
        <w:rPr>
          <w:rFonts w:ascii="Times New Roman" w:hAnsi="Times New Roman"/>
          <w:sz w:val="24"/>
          <w:szCs w:val="24"/>
          <w:lang w:val="it-IT" w:eastAsia="pt-BR"/>
        </w:rPr>
        <w:t xml:space="preserve">AZEVEDO, D. F. et al. </w:t>
      </w:r>
      <w:r w:rsidRPr="00DC3FF0">
        <w:rPr>
          <w:rFonts w:ascii="Times New Roman" w:hAnsi="Times New Roman"/>
          <w:sz w:val="24"/>
          <w:szCs w:val="24"/>
          <w:lang w:eastAsia="pt-BR"/>
        </w:rPr>
        <w:t xml:space="preserve">Sobrevida e causas de mortalidade em pacientes </w:t>
      </w:r>
      <w:proofErr w:type="spellStart"/>
      <w:r w:rsidRPr="00DC3FF0">
        <w:rPr>
          <w:rFonts w:ascii="Times New Roman" w:hAnsi="Times New Roman"/>
          <w:sz w:val="24"/>
          <w:szCs w:val="24"/>
          <w:lang w:eastAsia="pt-BR"/>
        </w:rPr>
        <w:t>hemodialíticos</w:t>
      </w:r>
      <w:proofErr w:type="spellEnd"/>
      <w:r w:rsidRPr="00DC3FF0">
        <w:rPr>
          <w:rFonts w:ascii="Times New Roman" w:hAnsi="Times New Roman"/>
          <w:sz w:val="24"/>
          <w:szCs w:val="24"/>
          <w:lang w:eastAsia="pt-BR"/>
        </w:rPr>
        <w:t xml:space="preserve">. </w:t>
      </w:r>
      <w:r w:rsidRPr="00DC3FF0">
        <w:rPr>
          <w:rFonts w:ascii="Times New Roman" w:hAnsi="Times New Roman"/>
          <w:b/>
          <w:bCs/>
          <w:sz w:val="24"/>
          <w:szCs w:val="24"/>
          <w:lang w:eastAsia="pt-BR"/>
        </w:rPr>
        <w:t>Revista Médica Minas Gerais</w:t>
      </w:r>
      <w:r w:rsidRPr="00DC3FF0">
        <w:rPr>
          <w:rFonts w:ascii="Times New Roman" w:hAnsi="Times New Roman"/>
          <w:bCs/>
          <w:sz w:val="24"/>
          <w:szCs w:val="24"/>
          <w:lang w:eastAsia="pt-BR"/>
        </w:rPr>
        <w:t>,</w:t>
      </w:r>
      <w:r w:rsidRPr="00DC3FF0">
        <w:rPr>
          <w:rFonts w:ascii="Times New Roman" w:hAnsi="Times New Roman"/>
          <w:b/>
          <w:bCs/>
          <w:sz w:val="24"/>
          <w:szCs w:val="24"/>
          <w:lang w:eastAsia="pt-BR"/>
        </w:rPr>
        <w:t xml:space="preserve"> </w:t>
      </w:r>
      <w:r w:rsidRPr="00DC3FF0">
        <w:rPr>
          <w:rFonts w:ascii="Times New Roman" w:hAnsi="Times New Roman"/>
          <w:sz w:val="24"/>
          <w:szCs w:val="24"/>
          <w:lang w:eastAsia="pt-BR"/>
        </w:rPr>
        <w:t xml:space="preserve">Belo Horizonte, v.19, n.2, p.117-122, 2009. </w:t>
      </w:r>
    </w:p>
    <w:p w:rsidR="00B206A4" w:rsidRPr="00DC3FF0" w:rsidRDefault="00B206A4" w:rsidP="00D23B8C">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FE3D83">
        <w:rPr>
          <w:rFonts w:ascii="Times New Roman" w:hAnsi="Times New Roman"/>
          <w:color w:val="000000"/>
          <w:sz w:val="24"/>
          <w:szCs w:val="24"/>
          <w:lang w:val="it-IT" w:eastAsia="pt-BR"/>
        </w:rPr>
        <w:t xml:space="preserve">BARBERATO, S. H. et al. </w:t>
      </w:r>
      <w:r w:rsidRPr="00DC3FF0">
        <w:rPr>
          <w:rFonts w:ascii="Times New Roman" w:hAnsi="Times New Roman"/>
          <w:color w:val="000000"/>
          <w:sz w:val="24"/>
          <w:szCs w:val="24"/>
          <w:lang w:eastAsia="pt-BR"/>
        </w:rPr>
        <w:t>Alterações ecocardiográficas em pacientes com insuficiência renal crônica em programa de hemodiálise.</w:t>
      </w:r>
      <w:r w:rsidRPr="00DC3FF0">
        <w:rPr>
          <w:rFonts w:ascii="Times New Roman" w:hAnsi="Times New Roman"/>
          <w:i/>
          <w:iCs/>
          <w:color w:val="000000"/>
          <w:sz w:val="24"/>
          <w:szCs w:val="24"/>
          <w:lang w:eastAsia="pt-BR"/>
        </w:rPr>
        <w:t xml:space="preserve"> </w:t>
      </w:r>
      <w:r w:rsidRPr="00DC3FF0">
        <w:rPr>
          <w:rFonts w:ascii="Times New Roman" w:hAnsi="Times New Roman"/>
          <w:b/>
          <w:bCs/>
          <w:color w:val="000000"/>
          <w:sz w:val="24"/>
          <w:szCs w:val="24"/>
          <w:lang w:eastAsia="pt-BR"/>
        </w:rPr>
        <w:t>Arquivo Brasileiro de Cardiologia</w:t>
      </w:r>
      <w:r w:rsidRPr="00DC3FF0">
        <w:rPr>
          <w:rFonts w:ascii="Times New Roman" w:hAnsi="Times New Roman"/>
          <w:bCs/>
          <w:color w:val="000000"/>
          <w:sz w:val="24"/>
          <w:szCs w:val="24"/>
          <w:lang w:eastAsia="pt-BR"/>
        </w:rPr>
        <w:t>, São Paulo,</w:t>
      </w:r>
      <w:r w:rsidRPr="00DC3FF0">
        <w:rPr>
          <w:rFonts w:ascii="Times New Roman" w:hAnsi="Times New Roman"/>
          <w:color w:val="000000"/>
          <w:sz w:val="24"/>
          <w:szCs w:val="24"/>
          <w:lang w:eastAsia="pt-BR"/>
        </w:rPr>
        <w:t xml:space="preserve"> v.94, n.1, p.140-146, 2010.</w:t>
      </w:r>
    </w:p>
    <w:p w:rsidR="00B206A4" w:rsidRPr="00DC3FF0" w:rsidRDefault="00B206A4" w:rsidP="00BC2F0A">
      <w:pPr>
        <w:spacing w:after="0" w:line="360" w:lineRule="auto"/>
        <w:rPr>
          <w:rFonts w:ascii="Times New Roman" w:hAnsi="Times New Roman"/>
          <w:b/>
          <w:color w:val="FF0000"/>
          <w:sz w:val="24"/>
          <w:szCs w:val="24"/>
          <w:lang w:eastAsia="pt-BR"/>
        </w:rPr>
      </w:pPr>
    </w:p>
    <w:p w:rsidR="00B206A4" w:rsidRPr="00FE3D83" w:rsidRDefault="00B206A4" w:rsidP="00DC3FF0">
      <w:pPr>
        <w:pStyle w:val="Ttulo3"/>
        <w:spacing w:before="0" w:line="360" w:lineRule="auto"/>
        <w:rPr>
          <w:rFonts w:ascii="Times New Roman" w:hAnsi="Times New Roman"/>
          <w:b w:val="0"/>
          <w:bCs w:val="0"/>
          <w:color w:val="000000"/>
          <w:sz w:val="24"/>
          <w:szCs w:val="24"/>
        </w:rPr>
      </w:pPr>
      <w:r w:rsidRPr="00DC3FF0">
        <w:rPr>
          <w:rFonts w:ascii="Times New Roman" w:hAnsi="Times New Roman"/>
          <w:b w:val="0"/>
          <w:bCs w:val="0"/>
          <w:color w:val="000000"/>
          <w:sz w:val="24"/>
          <w:szCs w:val="24"/>
        </w:rPr>
        <w:t xml:space="preserve">BARBOSA, D. A. et al. </w:t>
      </w:r>
      <w:proofErr w:type="spellStart"/>
      <w:r w:rsidRPr="00DC3FF0">
        <w:rPr>
          <w:rFonts w:ascii="Times New Roman" w:hAnsi="Times New Roman"/>
          <w:b w:val="0"/>
          <w:bCs w:val="0"/>
          <w:color w:val="000000"/>
          <w:sz w:val="24"/>
          <w:szCs w:val="24"/>
        </w:rPr>
        <w:t>Co-morbidade</w:t>
      </w:r>
      <w:proofErr w:type="spellEnd"/>
      <w:r w:rsidRPr="00DC3FF0">
        <w:rPr>
          <w:rFonts w:ascii="Times New Roman" w:hAnsi="Times New Roman"/>
          <w:b w:val="0"/>
          <w:bCs w:val="0"/>
          <w:color w:val="000000"/>
          <w:sz w:val="24"/>
          <w:szCs w:val="24"/>
        </w:rPr>
        <w:t xml:space="preserve"> e mortalidade de pacientes em início de diálise</w:t>
      </w:r>
      <w:r w:rsidRPr="00DC3FF0">
        <w:rPr>
          <w:rFonts w:ascii="Times New Roman" w:hAnsi="Times New Roman"/>
          <w:bCs w:val="0"/>
          <w:color w:val="000000"/>
          <w:sz w:val="24"/>
          <w:szCs w:val="24"/>
        </w:rPr>
        <w:t>.</w:t>
      </w:r>
      <w:r w:rsidRPr="00DC3FF0">
        <w:rPr>
          <w:rStyle w:val="apple-converted-space"/>
          <w:rFonts w:ascii="Times New Roman" w:hAnsi="Times New Roman"/>
          <w:i/>
          <w:iCs/>
          <w:color w:val="000000"/>
          <w:sz w:val="24"/>
          <w:szCs w:val="24"/>
        </w:rPr>
        <w:t> </w:t>
      </w:r>
      <w:r w:rsidRPr="00FE3D83">
        <w:rPr>
          <w:rFonts w:ascii="Times New Roman" w:hAnsi="Times New Roman"/>
          <w:bCs w:val="0"/>
          <w:iCs/>
          <w:color w:val="000000"/>
          <w:sz w:val="24"/>
          <w:szCs w:val="24"/>
        </w:rPr>
        <w:t>Acta Paulista de enfermagem</w:t>
      </w:r>
      <w:r w:rsidRPr="00FE3D83">
        <w:rPr>
          <w:rFonts w:ascii="Times New Roman" w:hAnsi="Times New Roman"/>
          <w:b w:val="0"/>
          <w:bCs w:val="0"/>
          <w:iCs/>
          <w:color w:val="000000"/>
          <w:sz w:val="24"/>
          <w:szCs w:val="24"/>
        </w:rPr>
        <w:t>, São Paulo,</w:t>
      </w:r>
      <w:r w:rsidRPr="00FE3D83">
        <w:rPr>
          <w:rFonts w:ascii="Times New Roman" w:hAnsi="Times New Roman"/>
          <w:b w:val="0"/>
          <w:bCs w:val="0"/>
          <w:i/>
          <w:iCs/>
          <w:color w:val="000000"/>
          <w:sz w:val="24"/>
          <w:szCs w:val="24"/>
        </w:rPr>
        <w:t xml:space="preserve"> </w:t>
      </w:r>
      <w:r w:rsidRPr="00FE3D83">
        <w:rPr>
          <w:rFonts w:ascii="Times New Roman" w:hAnsi="Times New Roman"/>
          <w:b w:val="0"/>
          <w:bCs w:val="0"/>
          <w:iCs/>
          <w:color w:val="000000"/>
          <w:sz w:val="24"/>
          <w:szCs w:val="24"/>
        </w:rPr>
        <w:t>v.</w:t>
      </w:r>
      <w:r w:rsidRPr="00FE3D83">
        <w:rPr>
          <w:rFonts w:ascii="Times New Roman" w:hAnsi="Times New Roman"/>
          <w:b w:val="0"/>
          <w:bCs w:val="0"/>
          <w:color w:val="000000"/>
          <w:sz w:val="24"/>
          <w:szCs w:val="24"/>
        </w:rPr>
        <w:t xml:space="preserve">19, n.3, p. 304-309, 2006. </w:t>
      </w:r>
    </w:p>
    <w:p w:rsidR="00B206A4" w:rsidRPr="00FE3D83" w:rsidRDefault="00B206A4" w:rsidP="0009376E">
      <w:pPr>
        <w:rPr>
          <w:rFonts w:ascii="Times New Roman" w:hAnsi="Times New Roman"/>
          <w:sz w:val="24"/>
          <w:szCs w:val="24"/>
        </w:rPr>
      </w:pPr>
    </w:p>
    <w:p w:rsidR="00B206A4" w:rsidRPr="00986AED" w:rsidRDefault="00B206A4" w:rsidP="00DC3FF0">
      <w:pPr>
        <w:pStyle w:val="Ttulo3"/>
        <w:spacing w:before="0" w:line="360" w:lineRule="auto"/>
        <w:rPr>
          <w:rFonts w:ascii="Times New Roman" w:hAnsi="Times New Roman"/>
          <w:b w:val="0"/>
          <w:color w:val="000000"/>
          <w:sz w:val="24"/>
          <w:szCs w:val="24"/>
        </w:rPr>
      </w:pPr>
      <w:r w:rsidRPr="00FE3D83">
        <w:rPr>
          <w:rFonts w:ascii="Times New Roman" w:hAnsi="Times New Roman"/>
          <w:b w:val="0"/>
          <w:color w:val="000000"/>
          <w:sz w:val="24"/>
          <w:szCs w:val="24"/>
        </w:rPr>
        <w:t xml:space="preserve">BEERENHOUT,C. et al. </w:t>
      </w:r>
      <w:r w:rsidRPr="00DC3FF0">
        <w:rPr>
          <w:rFonts w:ascii="Times New Roman" w:hAnsi="Times New Roman"/>
          <w:b w:val="0"/>
          <w:color w:val="000000"/>
          <w:sz w:val="24"/>
          <w:szCs w:val="24"/>
          <w:lang w:val="en-US"/>
        </w:rPr>
        <w:t xml:space="preserve">A comparison between the soluble transferrin receptor, transferrin saturation and serum ferritin as markers of iron state in hemodialysis patients. </w:t>
      </w:r>
      <w:proofErr w:type="spellStart"/>
      <w:r w:rsidRPr="00986AED">
        <w:rPr>
          <w:rFonts w:ascii="Times New Roman" w:hAnsi="Times New Roman"/>
          <w:color w:val="000000"/>
          <w:sz w:val="24"/>
          <w:szCs w:val="24"/>
        </w:rPr>
        <w:t>Nephron</w:t>
      </w:r>
      <w:proofErr w:type="spellEnd"/>
      <w:r w:rsidRPr="00986AED">
        <w:rPr>
          <w:rFonts w:ascii="Times New Roman" w:hAnsi="Times New Roman"/>
          <w:b w:val="0"/>
          <w:color w:val="000000"/>
          <w:sz w:val="24"/>
          <w:szCs w:val="24"/>
        </w:rPr>
        <w:t>, Basel, v.92, n.1, p.32-5, 2002.</w:t>
      </w:r>
    </w:p>
    <w:p w:rsidR="00B206A4" w:rsidRPr="00986AED" w:rsidRDefault="00B206A4" w:rsidP="00BC2F0A">
      <w:pPr>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t xml:space="preserve">CANZIANI, M. E. F. Doenças cardiovasculares na doença renal crônica. </w:t>
      </w:r>
      <w:r w:rsidRPr="00DC3FF0">
        <w:rPr>
          <w:rFonts w:ascii="Times New Roman" w:hAnsi="Times New Roman"/>
          <w:b/>
          <w:sz w:val="24"/>
          <w:szCs w:val="24"/>
        </w:rPr>
        <w:t>Jornal Brasileiro de Nefrologia</w:t>
      </w:r>
      <w:r w:rsidRPr="00DC3FF0">
        <w:rPr>
          <w:rFonts w:ascii="Times New Roman" w:hAnsi="Times New Roman"/>
          <w:sz w:val="24"/>
          <w:szCs w:val="24"/>
        </w:rPr>
        <w:t>, São Paulo, v. 26, n. 3, supl. 1, p. 20-21, 2004.</w:t>
      </w:r>
    </w:p>
    <w:p w:rsidR="00B206A4" w:rsidRPr="00DC3FF0" w:rsidRDefault="00B206A4" w:rsidP="00BC2F0A">
      <w:pPr>
        <w:spacing w:after="0" w:line="360" w:lineRule="auto"/>
        <w:rPr>
          <w:rFonts w:ascii="Times New Roman" w:hAnsi="Times New Roman"/>
          <w:sz w:val="24"/>
          <w:szCs w:val="24"/>
        </w:rPr>
      </w:pPr>
    </w:p>
    <w:p w:rsidR="00B206A4" w:rsidRPr="005526FB"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CAVALCANTE, S</w:t>
      </w:r>
      <w:r>
        <w:rPr>
          <w:rFonts w:ascii="Times New Roman" w:hAnsi="Times New Roman"/>
          <w:sz w:val="24"/>
          <w:szCs w:val="24"/>
          <w:lang w:val="it-IT"/>
        </w:rPr>
        <w:t xml:space="preserve">.A. </w:t>
      </w:r>
      <w:r w:rsidRPr="00FE3D83">
        <w:rPr>
          <w:rFonts w:ascii="Times New Roman" w:hAnsi="Times New Roman"/>
          <w:sz w:val="24"/>
          <w:szCs w:val="24"/>
          <w:lang w:val="it-IT"/>
        </w:rPr>
        <w:t xml:space="preserve">et al. </w:t>
      </w:r>
      <w:r w:rsidRPr="00DC3FF0">
        <w:rPr>
          <w:rFonts w:ascii="Times New Roman" w:hAnsi="Times New Roman"/>
          <w:sz w:val="24"/>
          <w:szCs w:val="24"/>
        </w:rPr>
        <w:t xml:space="preserve">Doença renal crônica. In: FILGUEIRA, N. A. </w:t>
      </w:r>
      <w:r w:rsidRPr="00DC3FF0">
        <w:rPr>
          <w:rFonts w:ascii="Times New Roman" w:hAnsi="Times New Roman"/>
          <w:b/>
          <w:sz w:val="24"/>
          <w:szCs w:val="24"/>
        </w:rPr>
        <w:t>Condutas em clínica médica.</w:t>
      </w:r>
      <w:r w:rsidRPr="00DC3FF0">
        <w:rPr>
          <w:rFonts w:ascii="Times New Roman" w:hAnsi="Times New Roman"/>
          <w:sz w:val="24"/>
          <w:szCs w:val="24"/>
        </w:rPr>
        <w:t xml:space="preserve"> </w:t>
      </w:r>
      <w:proofErr w:type="gramStart"/>
      <w:r w:rsidRPr="005526FB">
        <w:rPr>
          <w:rFonts w:ascii="Times New Roman" w:hAnsi="Times New Roman"/>
          <w:sz w:val="24"/>
          <w:szCs w:val="24"/>
        </w:rPr>
        <w:t>4</w:t>
      </w:r>
      <w:proofErr w:type="gramEnd"/>
      <w:r w:rsidRPr="005526FB">
        <w:rPr>
          <w:rFonts w:ascii="Times New Roman" w:hAnsi="Times New Roman"/>
          <w:sz w:val="24"/>
          <w:szCs w:val="24"/>
        </w:rPr>
        <w:t xml:space="preserve"> ed. Rio de Janeiro: Guanabara Koogan. </w:t>
      </w:r>
      <w:proofErr w:type="spellStart"/>
      <w:r w:rsidRPr="005526FB">
        <w:rPr>
          <w:rFonts w:ascii="Times New Roman" w:hAnsi="Times New Roman"/>
          <w:sz w:val="24"/>
          <w:szCs w:val="24"/>
        </w:rPr>
        <w:t>Cap</w:t>
      </w:r>
      <w:proofErr w:type="spellEnd"/>
      <w:r w:rsidRPr="005526FB">
        <w:rPr>
          <w:rFonts w:ascii="Times New Roman" w:hAnsi="Times New Roman"/>
          <w:sz w:val="24"/>
          <w:szCs w:val="24"/>
        </w:rPr>
        <w:t xml:space="preserve"> 35, p. 491-500, 2007. </w:t>
      </w:r>
    </w:p>
    <w:p w:rsidR="00B206A4" w:rsidRPr="005526FB"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5526FB">
        <w:rPr>
          <w:rFonts w:ascii="Times New Roman" w:hAnsi="Times New Roman"/>
          <w:color w:val="000000"/>
          <w:sz w:val="24"/>
          <w:szCs w:val="24"/>
          <w:lang w:eastAsia="pt-BR"/>
        </w:rPr>
        <w:t xml:space="preserve">COHEN, L. M. </w:t>
      </w:r>
      <w:proofErr w:type="gramStart"/>
      <w:r w:rsidRPr="005526FB">
        <w:rPr>
          <w:rFonts w:ascii="Times New Roman" w:hAnsi="Times New Roman"/>
          <w:color w:val="000000"/>
          <w:sz w:val="24"/>
          <w:szCs w:val="24"/>
          <w:lang w:eastAsia="pt-BR"/>
        </w:rPr>
        <w:t>et</w:t>
      </w:r>
      <w:proofErr w:type="gramEnd"/>
      <w:r w:rsidRPr="005526FB">
        <w:rPr>
          <w:rFonts w:ascii="Times New Roman" w:hAnsi="Times New Roman"/>
          <w:color w:val="000000"/>
          <w:sz w:val="24"/>
          <w:szCs w:val="24"/>
          <w:lang w:eastAsia="pt-BR"/>
        </w:rPr>
        <w:t xml:space="preserve"> al. </w:t>
      </w:r>
      <w:r w:rsidRPr="00DC3FF0">
        <w:rPr>
          <w:rFonts w:ascii="Times New Roman" w:hAnsi="Times New Roman"/>
          <w:color w:val="000000"/>
          <w:sz w:val="24"/>
          <w:szCs w:val="24"/>
          <w:lang w:val="en-US" w:eastAsia="pt-BR"/>
        </w:rPr>
        <w:t xml:space="preserve">Predicting six-month mortality for patients who are on maintenance hemodialysis. </w:t>
      </w:r>
      <w:r w:rsidRPr="00DC3FF0">
        <w:rPr>
          <w:rFonts w:ascii="Times New Roman" w:hAnsi="Times New Roman"/>
          <w:b/>
          <w:bCs/>
          <w:color w:val="000000"/>
          <w:sz w:val="24"/>
          <w:szCs w:val="24"/>
          <w:lang w:val="en-US" w:eastAsia="pt-BR"/>
        </w:rPr>
        <w:t>Clinical Journal of American Society of Nephrology</w:t>
      </w:r>
      <w:r w:rsidRPr="00DC3FF0">
        <w:rPr>
          <w:rFonts w:ascii="Times New Roman" w:hAnsi="Times New Roman"/>
          <w:bCs/>
          <w:color w:val="000000"/>
          <w:sz w:val="24"/>
          <w:szCs w:val="24"/>
          <w:lang w:val="en-US" w:eastAsia="pt-BR"/>
        </w:rPr>
        <w:t>, Washington,</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v.5, p.72-79, 2010.</w:t>
      </w:r>
    </w:p>
    <w:p w:rsidR="00B206A4" w:rsidRPr="00DC3FF0" w:rsidRDefault="00B206A4" w:rsidP="00BC2F0A">
      <w:pPr>
        <w:spacing w:after="0" w:line="360" w:lineRule="auto"/>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t xml:space="preserve">FELDMAN, H. I. et al. The chronic renal insufficiency cohort (CRIC) study: design and methods. </w:t>
      </w:r>
      <w:r w:rsidRPr="00DC3FF0">
        <w:rPr>
          <w:rFonts w:ascii="Times New Roman" w:hAnsi="Times New Roman"/>
          <w:b/>
          <w:bCs/>
          <w:color w:val="000000"/>
          <w:sz w:val="24"/>
          <w:szCs w:val="24"/>
          <w:lang w:val="en-US" w:eastAsia="pt-BR"/>
        </w:rPr>
        <w:t>Journal of American Society of Nephrology</w:t>
      </w:r>
      <w:r w:rsidRPr="00DC3FF0">
        <w:rPr>
          <w:rFonts w:ascii="Times New Roman" w:hAnsi="Times New Roman"/>
          <w:bCs/>
          <w:color w:val="000000"/>
          <w:sz w:val="24"/>
          <w:szCs w:val="24"/>
          <w:lang w:val="en-US" w:eastAsia="pt-BR"/>
        </w:rPr>
        <w:t>, Baltimore,</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v.14, p.148-153, 2003.</w:t>
      </w:r>
    </w:p>
    <w:p w:rsidR="00B206A4" w:rsidRPr="00DC3FF0" w:rsidRDefault="00B206A4" w:rsidP="00F6708C">
      <w:pPr>
        <w:pStyle w:val="PargrafodaLista"/>
        <w:spacing w:after="0" w:line="360" w:lineRule="auto"/>
        <w:rPr>
          <w:rFonts w:ascii="Times New Roman" w:hAnsi="Times New Roman"/>
          <w:color w:val="000000"/>
          <w:sz w:val="24"/>
          <w:szCs w:val="24"/>
          <w:lang w:val="en-US" w:eastAsia="pt-BR"/>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HASUIKE, Y. et al</w:t>
      </w:r>
      <w:r w:rsidRPr="00DC3FF0">
        <w:rPr>
          <w:rFonts w:ascii="Times New Roman" w:hAnsi="Times New Roman"/>
          <w:sz w:val="24"/>
          <w:szCs w:val="24"/>
          <w:lang w:val="en-US"/>
        </w:rPr>
        <w:t>.</w:t>
      </w:r>
      <w:r w:rsidRPr="00DC3FF0">
        <w:rPr>
          <w:rFonts w:ascii="Times New Roman" w:hAnsi="Times New Roman"/>
          <w:color w:val="000000"/>
          <w:sz w:val="24"/>
          <w:szCs w:val="24"/>
          <w:lang w:val="en-US"/>
        </w:rPr>
        <w:t xml:space="preserve"> Serum ferritin predicts prognosis in hemodialysis patients: the Nishinomiya study.  </w:t>
      </w:r>
      <w:r w:rsidRPr="00DC3FF0">
        <w:rPr>
          <w:rFonts w:ascii="Times New Roman" w:hAnsi="Times New Roman"/>
          <w:b/>
          <w:color w:val="000000"/>
          <w:sz w:val="24"/>
          <w:szCs w:val="24"/>
          <w:lang w:val="en-US"/>
        </w:rPr>
        <w:t>Clinical and Experimental Nephrology</w:t>
      </w:r>
      <w:r w:rsidRPr="00DC3FF0">
        <w:rPr>
          <w:rFonts w:ascii="Times New Roman" w:hAnsi="Times New Roman"/>
          <w:color w:val="000000"/>
          <w:sz w:val="24"/>
          <w:szCs w:val="24"/>
          <w:lang w:val="en-US"/>
        </w:rPr>
        <w:t>, Tokyo, v.14, n.4, p.349-55, 2010.</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DC3FF0">
        <w:rPr>
          <w:rFonts w:ascii="Times New Roman" w:hAnsi="Times New Roman"/>
          <w:color w:val="000000"/>
          <w:sz w:val="24"/>
          <w:szCs w:val="24"/>
          <w:lang w:val="en-US"/>
        </w:rPr>
        <w:t xml:space="preserve">LOCATELLI, F. et al. Anemia in hemodialysis patients of five European Countries: association with morbidity and mortality in the Dialysis Outcomes and Practice Patterns Study ( DOPPS). </w:t>
      </w:r>
      <w:r w:rsidRPr="00DC3FF0">
        <w:rPr>
          <w:rFonts w:ascii="Times New Roman" w:hAnsi="Times New Roman"/>
          <w:b/>
          <w:color w:val="000000"/>
          <w:sz w:val="24"/>
          <w:szCs w:val="24"/>
          <w:lang w:val="en-US"/>
        </w:rPr>
        <w:t>Nephrology, Dialysis, Transplantation</w:t>
      </w:r>
      <w:r w:rsidRPr="00DC3FF0">
        <w:rPr>
          <w:rFonts w:ascii="Times New Roman" w:hAnsi="Times New Roman"/>
          <w:color w:val="000000"/>
          <w:sz w:val="24"/>
          <w:szCs w:val="24"/>
          <w:lang w:val="en-US"/>
        </w:rPr>
        <w:t>, Oxford, v.19, n.6,  p.1666, 2004.</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FE3D83" w:rsidRDefault="00B206A4" w:rsidP="00DC3FF0">
      <w:pPr>
        <w:autoSpaceDE w:val="0"/>
        <w:autoSpaceDN w:val="0"/>
        <w:adjustRightInd w:val="0"/>
        <w:spacing w:after="0" w:line="360" w:lineRule="auto"/>
        <w:rPr>
          <w:rFonts w:ascii="Times New Roman" w:hAnsi="Times New Roman"/>
          <w:color w:val="000000"/>
          <w:sz w:val="24"/>
          <w:szCs w:val="24"/>
        </w:rPr>
      </w:pPr>
      <w:r w:rsidRPr="00DC3FF0">
        <w:rPr>
          <w:rFonts w:ascii="Times New Roman" w:hAnsi="Times New Roman"/>
          <w:color w:val="000000"/>
          <w:sz w:val="24"/>
          <w:szCs w:val="24"/>
          <w:lang w:val="en-US"/>
        </w:rPr>
        <w:t>KALANTAR, Z, K. e</w:t>
      </w:r>
      <w:r>
        <w:rPr>
          <w:rFonts w:ascii="Times New Roman" w:hAnsi="Times New Roman"/>
          <w:color w:val="000000"/>
          <w:sz w:val="24"/>
          <w:szCs w:val="24"/>
          <w:lang w:val="en-US"/>
        </w:rPr>
        <w:t>t al</w:t>
      </w:r>
      <w:r w:rsidRPr="00DC3FF0">
        <w:rPr>
          <w:rFonts w:ascii="Times New Roman" w:hAnsi="Times New Roman"/>
          <w:color w:val="000000"/>
          <w:sz w:val="24"/>
          <w:szCs w:val="24"/>
          <w:lang w:val="en-US"/>
        </w:rPr>
        <w:t xml:space="preserve">.  Serum ferritin is a marker of morbidity and mortality in </w:t>
      </w:r>
      <w:proofErr w:type="spellStart"/>
      <w:r w:rsidRPr="00DC3FF0">
        <w:rPr>
          <w:rFonts w:ascii="Times New Roman" w:hAnsi="Times New Roman"/>
          <w:color w:val="000000"/>
          <w:sz w:val="24"/>
          <w:szCs w:val="24"/>
          <w:lang w:val="en-US"/>
        </w:rPr>
        <w:t>hemolialysis</w:t>
      </w:r>
      <w:proofErr w:type="spellEnd"/>
      <w:r w:rsidRPr="00DC3FF0">
        <w:rPr>
          <w:rFonts w:ascii="Times New Roman" w:hAnsi="Times New Roman"/>
          <w:color w:val="000000"/>
          <w:sz w:val="24"/>
          <w:szCs w:val="24"/>
          <w:lang w:val="en-US"/>
        </w:rPr>
        <w:t xml:space="preserve"> patients. </w:t>
      </w:r>
      <w:r w:rsidRPr="00FE3D83">
        <w:rPr>
          <w:rFonts w:ascii="Times New Roman" w:hAnsi="Times New Roman"/>
          <w:b/>
          <w:color w:val="000000"/>
          <w:sz w:val="24"/>
          <w:szCs w:val="24"/>
        </w:rPr>
        <w:t xml:space="preserve">American </w:t>
      </w:r>
      <w:proofErr w:type="spellStart"/>
      <w:r w:rsidRPr="00FE3D83">
        <w:rPr>
          <w:rFonts w:ascii="Times New Roman" w:hAnsi="Times New Roman"/>
          <w:b/>
          <w:color w:val="000000"/>
          <w:sz w:val="24"/>
          <w:szCs w:val="24"/>
        </w:rPr>
        <w:t>Journal</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of</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Kidney</w:t>
      </w:r>
      <w:proofErr w:type="spellEnd"/>
      <w:r w:rsidRPr="00FE3D83">
        <w:rPr>
          <w:rFonts w:ascii="Times New Roman" w:hAnsi="Times New Roman"/>
          <w:b/>
          <w:color w:val="000000"/>
          <w:sz w:val="24"/>
          <w:szCs w:val="24"/>
        </w:rPr>
        <w:t xml:space="preserve"> </w:t>
      </w:r>
      <w:proofErr w:type="spellStart"/>
      <w:r w:rsidRPr="00FE3D83">
        <w:rPr>
          <w:rFonts w:ascii="Times New Roman" w:hAnsi="Times New Roman"/>
          <w:b/>
          <w:color w:val="000000"/>
          <w:sz w:val="24"/>
          <w:szCs w:val="24"/>
        </w:rPr>
        <w:t>Diseases</w:t>
      </w:r>
      <w:proofErr w:type="spellEnd"/>
      <w:r w:rsidRPr="00FE3D83">
        <w:rPr>
          <w:rFonts w:ascii="Times New Roman" w:hAnsi="Times New Roman"/>
          <w:color w:val="000000"/>
          <w:sz w:val="24"/>
          <w:szCs w:val="24"/>
        </w:rPr>
        <w:t>,</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Oxford,</w:t>
      </w:r>
      <w:r w:rsidRPr="00FE3D83">
        <w:rPr>
          <w:rFonts w:ascii="Times New Roman" w:hAnsi="Times New Roman"/>
          <w:b/>
          <w:color w:val="000000"/>
          <w:sz w:val="24"/>
          <w:szCs w:val="24"/>
        </w:rPr>
        <w:t xml:space="preserve"> </w:t>
      </w:r>
      <w:r w:rsidRPr="00FE3D83">
        <w:rPr>
          <w:rFonts w:ascii="Times New Roman" w:hAnsi="Times New Roman"/>
          <w:color w:val="000000"/>
          <w:sz w:val="24"/>
          <w:szCs w:val="24"/>
        </w:rPr>
        <w:t>v.37, n.3, p.564-72, 2001.</w:t>
      </w:r>
    </w:p>
    <w:p w:rsidR="00B206A4" w:rsidRPr="00FE3D83" w:rsidRDefault="00B206A4" w:rsidP="00BC2F0A">
      <w:pPr>
        <w:autoSpaceDE w:val="0"/>
        <w:autoSpaceDN w:val="0"/>
        <w:adjustRightInd w:val="0"/>
        <w:spacing w:after="0" w:line="360" w:lineRule="auto"/>
        <w:rPr>
          <w:rFonts w:ascii="Times New Roman" w:hAnsi="Times New Roman"/>
          <w:color w:val="000000"/>
          <w:sz w:val="24"/>
          <w:szCs w:val="24"/>
        </w:rPr>
      </w:pPr>
    </w:p>
    <w:p w:rsidR="00B206A4" w:rsidRPr="00DC3FF0" w:rsidRDefault="00B206A4" w:rsidP="00DC3FF0">
      <w:pPr>
        <w:spacing w:after="0" w:line="360" w:lineRule="auto"/>
        <w:rPr>
          <w:rFonts w:ascii="Times New Roman" w:hAnsi="Times New Roman"/>
          <w:sz w:val="24"/>
          <w:szCs w:val="24"/>
        </w:rPr>
      </w:pPr>
      <w:r w:rsidRPr="00DC3FF0">
        <w:rPr>
          <w:rFonts w:ascii="Times New Roman" w:hAnsi="Times New Roman"/>
          <w:sz w:val="24"/>
          <w:szCs w:val="24"/>
        </w:rPr>
        <w:lastRenderedPageBreak/>
        <w:t xml:space="preserve">MARTINS, H. S. IRC e métodos dialíticos. In: MARTINS, </w:t>
      </w:r>
      <w:proofErr w:type="spellStart"/>
      <w:r w:rsidRPr="00DC3FF0">
        <w:rPr>
          <w:rFonts w:ascii="Times New Roman" w:hAnsi="Times New Roman"/>
          <w:sz w:val="24"/>
          <w:szCs w:val="24"/>
        </w:rPr>
        <w:t>Herlon</w:t>
      </w:r>
      <w:proofErr w:type="spellEnd"/>
      <w:r w:rsidRPr="00DC3FF0">
        <w:rPr>
          <w:rFonts w:ascii="Times New Roman" w:hAnsi="Times New Roman"/>
          <w:sz w:val="24"/>
          <w:szCs w:val="24"/>
        </w:rPr>
        <w:t xml:space="preserve"> S. </w:t>
      </w:r>
      <w:r w:rsidRPr="00DC3FF0">
        <w:rPr>
          <w:rFonts w:ascii="Times New Roman" w:hAnsi="Times New Roman"/>
          <w:b/>
          <w:sz w:val="24"/>
          <w:szCs w:val="24"/>
        </w:rPr>
        <w:t>Principais temas em nefrologia para concursos médicos</w:t>
      </w:r>
      <w:r w:rsidRPr="00DC3FF0">
        <w:rPr>
          <w:rFonts w:ascii="Times New Roman" w:hAnsi="Times New Roman"/>
          <w:sz w:val="24"/>
          <w:szCs w:val="24"/>
        </w:rPr>
        <w:t xml:space="preserve">. São Paulo: </w:t>
      </w:r>
      <w:proofErr w:type="spellStart"/>
      <w:r w:rsidRPr="00DC3FF0">
        <w:rPr>
          <w:rFonts w:ascii="Times New Roman" w:hAnsi="Times New Roman"/>
          <w:sz w:val="24"/>
          <w:szCs w:val="24"/>
        </w:rPr>
        <w:t>Medcel</w:t>
      </w:r>
      <w:proofErr w:type="spellEnd"/>
      <w:r w:rsidRPr="00DC3FF0">
        <w:rPr>
          <w:rFonts w:ascii="Times New Roman" w:hAnsi="Times New Roman"/>
          <w:sz w:val="24"/>
          <w:szCs w:val="24"/>
        </w:rPr>
        <w:t xml:space="preserve">. cap.5, p.91-114, 2005.  </w:t>
      </w:r>
    </w:p>
    <w:p w:rsidR="00B206A4" w:rsidRDefault="00B206A4" w:rsidP="00DC3FF0">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MIRANDA, S. P.</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Síndrome cardiorrenal: fisiopatologia e tratamento</w:t>
      </w:r>
      <w:r w:rsidRPr="00DC3FF0">
        <w:rPr>
          <w:rFonts w:ascii="Times New Roman" w:hAnsi="Times New Roman"/>
          <w:b/>
          <w:bCs/>
          <w:color w:val="000000"/>
          <w:sz w:val="24"/>
          <w:szCs w:val="24"/>
          <w:lang w:eastAsia="pt-BR"/>
        </w:rPr>
        <w:t>. 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color w:val="000000"/>
          <w:sz w:val="24"/>
          <w:szCs w:val="24"/>
          <w:lang w:eastAsia="pt-BR"/>
        </w:rPr>
        <w:t xml:space="preserve"> São, Paulo, v.55, n.1, p.89-94, 2009.</w:t>
      </w:r>
    </w:p>
    <w:p w:rsidR="00B206A4" w:rsidRPr="00DC3FF0" w:rsidRDefault="00B206A4" w:rsidP="00086BC9">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rPr>
      </w:pPr>
      <w:r w:rsidRPr="00DC3FF0">
        <w:rPr>
          <w:rFonts w:ascii="Times New Roman" w:hAnsi="Times New Roman"/>
          <w:color w:val="000000"/>
          <w:sz w:val="24"/>
          <w:szCs w:val="24"/>
        </w:rPr>
        <w:t>MORSCH, C.</w:t>
      </w:r>
      <w:r>
        <w:rPr>
          <w:rFonts w:ascii="Times New Roman" w:hAnsi="Times New Roman"/>
          <w:color w:val="000000"/>
          <w:sz w:val="24"/>
          <w:szCs w:val="24"/>
        </w:rPr>
        <w:t xml:space="preserve"> </w:t>
      </w:r>
      <w:bookmarkStart w:id="0" w:name="_GoBack"/>
      <w:bookmarkEnd w:id="0"/>
      <w:r>
        <w:rPr>
          <w:rFonts w:ascii="Times New Roman" w:hAnsi="Times New Roman"/>
          <w:color w:val="000000"/>
          <w:sz w:val="24"/>
          <w:szCs w:val="24"/>
        </w:rPr>
        <w:t>et al</w:t>
      </w:r>
      <w:r w:rsidRPr="00DC3FF0">
        <w:rPr>
          <w:rFonts w:ascii="Times New Roman" w:hAnsi="Times New Roman"/>
          <w:color w:val="000000"/>
          <w:sz w:val="24"/>
          <w:szCs w:val="24"/>
        </w:rPr>
        <w:t>. Índice de gravidade da doença renal, indicadores assistenciais e mortalidade em pacientes em hemodiálise</w:t>
      </w:r>
      <w:r w:rsidRPr="00DC3FF0">
        <w:rPr>
          <w:rFonts w:ascii="Times New Roman" w:hAnsi="Times New Roman"/>
          <w:b/>
          <w:i/>
          <w:color w:val="000000"/>
          <w:sz w:val="24"/>
          <w:szCs w:val="24"/>
        </w:rPr>
        <w:t>.</w:t>
      </w:r>
      <w:r w:rsidRPr="00DC3FF0">
        <w:rPr>
          <w:rStyle w:val="apple-converted-space"/>
          <w:rFonts w:ascii="Times New Roman" w:hAnsi="Times New Roman"/>
          <w:b/>
          <w:i/>
          <w:iCs/>
          <w:color w:val="000000"/>
          <w:sz w:val="24"/>
          <w:szCs w:val="24"/>
        </w:rPr>
        <w:t> </w:t>
      </w:r>
      <w:r w:rsidRPr="00DC3FF0">
        <w:rPr>
          <w:rFonts w:ascii="Times New Roman" w:hAnsi="Times New Roman"/>
          <w:b/>
          <w:iCs/>
          <w:color w:val="000000"/>
          <w:sz w:val="24"/>
          <w:szCs w:val="24"/>
        </w:rPr>
        <w:t>Revista da Associação Médica Brasileira</w:t>
      </w:r>
      <w:r w:rsidRPr="00DC3FF0">
        <w:rPr>
          <w:rStyle w:val="apple-converted-space"/>
          <w:rFonts w:ascii="Times New Roman" w:hAnsi="Times New Roman"/>
          <w:color w:val="000000"/>
          <w:sz w:val="24"/>
          <w:szCs w:val="24"/>
        </w:rPr>
        <w:t>, São Paulo, v.</w:t>
      </w:r>
      <w:r w:rsidRPr="00DC3FF0">
        <w:rPr>
          <w:rFonts w:ascii="Times New Roman" w:hAnsi="Times New Roman"/>
          <w:color w:val="000000"/>
          <w:sz w:val="24"/>
          <w:szCs w:val="24"/>
        </w:rPr>
        <w:t xml:space="preserve">51, n.5, p.296-300, 2005. </w:t>
      </w:r>
    </w:p>
    <w:p w:rsidR="00B206A4" w:rsidRPr="00DC3FF0" w:rsidRDefault="00B206A4" w:rsidP="00BC2F0A">
      <w:pPr>
        <w:spacing w:after="0" w:line="360" w:lineRule="auto"/>
        <w:rPr>
          <w:rStyle w:val="apple-converted-space"/>
          <w:rFonts w:ascii="Times New Roman" w:hAnsi="Times New Roman"/>
          <w:color w:val="000000"/>
          <w:sz w:val="24"/>
          <w:szCs w:val="24"/>
        </w:rPr>
      </w:pPr>
    </w:p>
    <w:p w:rsidR="00B206A4" w:rsidRPr="00DC3FF0" w:rsidRDefault="00B206A4" w:rsidP="00DC3FF0">
      <w:pPr>
        <w:pStyle w:val="Ttulo1"/>
        <w:spacing w:before="0" w:line="360" w:lineRule="auto"/>
        <w:rPr>
          <w:rFonts w:ascii="Times New Roman" w:hAnsi="Times New Roman"/>
          <w:b w:val="0"/>
          <w:color w:val="000000"/>
          <w:sz w:val="24"/>
          <w:szCs w:val="24"/>
          <w:lang w:val="en-US"/>
        </w:rPr>
      </w:pPr>
      <w:r w:rsidRPr="00FE3D83">
        <w:rPr>
          <w:rStyle w:val="apple-converted-space"/>
          <w:rFonts w:ascii="Times New Roman" w:hAnsi="Times New Roman"/>
          <w:b w:val="0"/>
          <w:color w:val="000000"/>
          <w:sz w:val="24"/>
          <w:szCs w:val="24"/>
          <w:lang w:val="es-ES_tradnl"/>
        </w:rPr>
        <w:t>NAVES, D. M.</w:t>
      </w:r>
      <w:r w:rsidRPr="00FE3D83">
        <w:rPr>
          <w:rFonts w:ascii="Times New Roman" w:hAnsi="Times New Roman"/>
          <w:b w:val="0"/>
          <w:color w:val="auto"/>
          <w:sz w:val="24"/>
          <w:szCs w:val="24"/>
          <w:lang w:val="es-ES_tradnl"/>
        </w:rPr>
        <w:t xml:space="preserve"> et al</w:t>
      </w:r>
      <w:r w:rsidRPr="00FE3D83">
        <w:rPr>
          <w:rStyle w:val="apple-converted-space"/>
          <w:rFonts w:ascii="Times New Roman" w:hAnsi="Times New Roman"/>
          <w:b w:val="0"/>
          <w:color w:val="000000"/>
          <w:sz w:val="24"/>
          <w:szCs w:val="24"/>
          <w:lang w:val="es-ES_tradnl"/>
        </w:rPr>
        <w:t>.</w:t>
      </w:r>
      <w:r w:rsidRPr="00FE3D83">
        <w:rPr>
          <w:rFonts w:ascii="Times New Roman" w:hAnsi="Times New Roman"/>
          <w:b w:val="0"/>
          <w:color w:val="000000"/>
          <w:sz w:val="24"/>
          <w:szCs w:val="24"/>
          <w:lang w:val="es-ES_tradnl"/>
        </w:rPr>
        <w:t xml:space="preserve"> </w:t>
      </w:r>
      <w:r w:rsidRPr="00DC3FF0">
        <w:rPr>
          <w:rFonts w:ascii="Times New Roman" w:hAnsi="Times New Roman"/>
          <w:b w:val="0"/>
          <w:color w:val="000000"/>
          <w:sz w:val="24"/>
          <w:szCs w:val="24"/>
          <w:lang w:val="en-US"/>
        </w:rPr>
        <w:t xml:space="preserve">Calcium, phosphorus, PTH and death rates in a large sample of dialysis patients from Latin America. The CORES Study. </w:t>
      </w:r>
      <w:hyperlink r:id="rId10" w:tooltip="Nephrology, dialysis, transplantation : official publication of the European Dialysis and Transplant Association - European Renal Association." w:history="1">
        <w:r w:rsidRPr="00DC3FF0">
          <w:rPr>
            <w:rStyle w:val="Hyperlink"/>
            <w:rFonts w:ascii="Times New Roman" w:hAnsi="Times New Roman"/>
            <w:color w:val="000000"/>
            <w:sz w:val="24"/>
            <w:szCs w:val="24"/>
            <w:u w:val="none"/>
            <w:lang w:val="en-US"/>
          </w:rPr>
          <w:t>Nephrology</w:t>
        </w:r>
        <w:proofErr w:type="gramStart"/>
        <w:r w:rsidRPr="00DC3FF0">
          <w:rPr>
            <w:rStyle w:val="Hyperlink"/>
            <w:rFonts w:ascii="Times New Roman" w:hAnsi="Times New Roman"/>
            <w:color w:val="000000"/>
            <w:sz w:val="24"/>
            <w:szCs w:val="24"/>
            <w:u w:val="none"/>
            <w:lang w:val="en-US"/>
          </w:rPr>
          <w:t>,  Dialysis</w:t>
        </w:r>
        <w:proofErr w:type="gramEnd"/>
        <w:r w:rsidRPr="00DC3FF0">
          <w:rPr>
            <w:rStyle w:val="Hyperlink"/>
            <w:rFonts w:ascii="Times New Roman" w:hAnsi="Times New Roman"/>
            <w:color w:val="000000"/>
            <w:sz w:val="24"/>
            <w:szCs w:val="24"/>
            <w:u w:val="none"/>
            <w:lang w:val="en-US"/>
          </w:rPr>
          <w:t>, Transplantation</w:t>
        </w:r>
      </w:hyperlink>
      <w:r w:rsidRPr="00DC3FF0">
        <w:rPr>
          <w:rFonts w:ascii="Times New Roman" w:hAnsi="Times New Roman"/>
          <w:color w:val="auto"/>
          <w:sz w:val="24"/>
          <w:szCs w:val="24"/>
          <w:lang w:val="en-US"/>
        </w:rPr>
        <w:t xml:space="preserve">, </w:t>
      </w:r>
      <w:r w:rsidRPr="00DC3FF0">
        <w:rPr>
          <w:rFonts w:ascii="Times New Roman" w:hAnsi="Times New Roman"/>
          <w:b w:val="0"/>
          <w:color w:val="auto"/>
          <w:sz w:val="24"/>
          <w:szCs w:val="24"/>
          <w:lang w:val="en-US"/>
        </w:rPr>
        <w:t>Oxford,</w:t>
      </w:r>
      <w:r w:rsidRPr="00DC3FF0">
        <w:rPr>
          <w:rFonts w:ascii="Times New Roman" w:hAnsi="Times New Roman"/>
          <w:color w:val="auto"/>
          <w:sz w:val="24"/>
          <w:szCs w:val="24"/>
          <w:lang w:val="en-US"/>
        </w:rPr>
        <w:t xml:space="preserve"> </w:t>
      </w:r>
      <w:r w:rsidRPr="00DC3FF0">
        <w:rPr>
          <w:rFonts w:ascii="Times New Roman" w:hAnsi="Times New Roman"/>
          <w:b w:val="0"/>
          <w:color w:val="000000"/>
          <w:sz w:val="24"/>
          <w:szCs w:val="24"/>
          <w:lang w:val="en-US"/>
        </w:rPr>
        <w:t>v.26, n.6,  p.1938-47, 2011.</w:t>
      </w:r>
    </w:p>
    <w:p w:rsidR="00B206A4" w:rsidRPr="00DC3FF0" w:rsidRDefault="00B206A4" w:rsidP="00BC2F0A">
      <w:pPr>
        <w:rPr>
          <w:rFonts w:ascii="Times New Roman" w:hAnsi="Times New Roman"/>
          <w:sz w:val="24"/>
          <w:szCs w:val="24"/>
          <w:lang w:val="en-US"/>
        </w:rPr>
      </w:pPr>
    </w:p>
    <w:p w:rsidR="00B206A4" w:rsidRPr="00DC3FF0" w:rsidRDefault="00B206A4" w:rsidP="00DC3FF0">
      <w:pPr>
        <w:pStyle w:val="Ttulo1"/>
        <w:spacing w:before="0" w:line="360" w:lineRule="auto"/>
        <w:rPr>
          <w:rFonts w:ascii="Times New Roman" w:hAnsi="Times New Roman"/>
          <w:b w:val="0"/>
          <w:color w:val="000000"/>
          <w:sz w:val="24"/>
          <w:szCs w:val="24"/>
        </w:rPr>
      </w:pPr>
      <w:r>
        <w:rPr>
          <w:rFonts w:ascii="Times New Roman" w:hAnsi="Times New Roman"/>
          <w:b w:val="0"/>
          <w:color w:val="000000"/>
          <w:sz w:val="24"/>
          <w:szCs w:val="24"/>
        </w:rPr>
        <w:t>PINHEIRO, M. E. et al</w:t>
      </w:r>
      <w:r w:rsidRPr="00DC3FF0">
        <w:rPr>
          <w:rFonts w:ascii="Times New Roman" w:hAnsi="Times New Roman"/>
          <w:b w:val="0"/>
          <w:color w:val="000000"/>
          <w:sz w:val="24"/>
          <w:szCs w:val="24"/>
        </w:rPr>
        <w:t xml:space="preserve">. </w:t>
      </w:r>
      <w:r w:rsidRPr="00DC3FF0">
        <w:rPr>
          <w:rFonts w:ascii="Times New Roman" w:hAnsi="Times New Roman"/>
          <w:b w:val="0"/>
          <w:bCs w:val="0"/>
          <w:color w:val="000000"/>
          <w:sz w:val="24"/>
          <w:szCs w:val="24"/>
        </w:rPr>
        <w:t xml:space="preserve">Hipertensão arterial na diálise e no transplante renal. </w:t>
      </w:r>
      <w:r w:rsidRPr="00DC3FF0">
        <w:rPr>
          <w:rFonts w:ascii="Times New Roman" w:hAnsi="Times New Roman"/>
          <w:color w:val="000000"/>
          <w:sz w:val="24"/>
          <w:szCs w:val="24"/>
        </w:rPr>
        <w:t>Jornal Brasileiro de Nefrologia</w:t>
      </w:r>
      <w:r w:rsidRPr="00DC3FF0">
        <w:rPr>
          <w:rFonts w:ascii="Times New Roman" w:hAnsi="Times New Roman"/>
          <w:b w:val="0"/>
          <w:color w:val="000000"/>
          <w:sz w:val="24"/>
          <w:szCs w:val="24"/>
        </w:rPr>
        <w:t>, São Paulo, v.25, n.3, p.142-8, 2003.</w:t>
      </w:r>
    </w:p>
    <w:p w:rsidR="00B206A4" w:rsidRPr="00DC3FF0" w:rsidRDefault="00B206A4" w:rsidP="00BC2F0A">
      <w:pPr>
        <w:rPr>
          <w:rFonts w:ascii="Times New Roman" w:hAnsi="Times New Roman"/>
          <w:sz w:val="24"/>
          <w:szCs w:val="24"/>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rPr>
      </w:pPr>
      <w:r w:rsidRPr="00FE3D83">
        <w:rPr>
          <w:rFonts w:ascii="Times New Roman" w:hAnsi="Times New Roman"/>
          <w:color w:val="000000"/>
          <w:sz w:val="24"/>
          <w:szCs w:val="24"/>
        </w:rPr>
        <w:t xml:space="preserve">PISONI, R. L. </w:t>
      </w:r>
      <w:r w:rsidRPr="00FE3D83">
        <w:rPr>
          <w:rFonts w:ascii="Times New Roman" w:hAnsi="Times New Roman"/>
          <w:iCs/>
          <w:color w:val="000000"/>
          <w:sz w:val="24"/>
          <w:szCs w:val="24"/>
        </w:rPr>
        <w:t>et al</w:t>
      </w:r>
      <w:r w:rsidRPr="00FE3D83">
        <w:rPr>
          <w:rFonts w:ascii="Times New Roman" w:hAnsi="Times New Roman"/>
          <w:color w:val="000000"/>
          <w:sz w:val="24"/>
          <w:szCs w:val="24"/>
        </w:rPr>
        <w:t xml:space="preserve">. </w:t>
      </w:r>
      <w:r w:rsidRPr="00DC3FF0">
        <w:rPr>
          <w:rFonts w:ascii="Times New Roman" w:hAnsi="Times New Roman"/>
          <w:color w:val="000000"/>
          <w:sz w:val="24"/>
          <w:szCs w:val="24"/>
          <w:lang w:val="en-US"/>
        </w:rPr>
        <w:t xml:space="preserve">Anemia management and outcomes from 12 countries in the Dialysis Outcomes and Practice Patterns Study ( DOPPS). </w:t>
      </w:r>
      <w:r w:rsidRPr="00DC3FF0">
        <w:rPr>
          <w:rFonts w:ascii="Times New Roman" w:hAnsi="Times New Roman"/>
          <w:b/>
          <w:color w:val="000000"/>
          <w:sz w:val="24"/>
          <w:szCs w:val="24"/>
          <w:lang w:val="en-US"/>
        </w:rPr>
        <w:t>American Journal of Kidney Diseases</w:t>
      </w:r>
      <w:r w:rsidRPr="00DC3FF0">
        <w:rPr>
          <w:rFonts w:ascii="Times New Roman" w:hAnsi="Times New Roman"/>
          <w:color w:val="000000"/>
          <w:sz w:val="24"/>
          <w:szCs w:val="24"/>
          <w:lang w:val="en-US"/>
        </w:rPr>
        <w:t>, New York, v.44, n.1, p.94-111, 2004.</w:t>
      </w:r>
    </w:p>
    <w:p w:rsidR="00B206A4" w:rsidRPr="00DC3FF0" w:rsidRDefault="00B206A4" w:rsidP="00BC2F0A">
      <w:pPr>
        <w:pStyle w:val="PargrafodaLista"/>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autoSpaceDE w:val="0"/>
        <w:autoSpaceDN w:val="0"/>
        <w:adjustRightInd w:val="0"/>
        <w:spacing w:after="0" w:line="360" w:lineRule="auto"/>
        <w:rPr>
          <w:rFonts w:ascii="Times New Roman" w:hAnsi="Times New Roman"/>
          <w:color w:val="000000"/>
          <w:sz w:val="24"/>
          <w:szCs w:val="24"/>
          <w:lang w:val="en-US" w:eastAsia="pt-BR"/>
        </w:rPr>
      </w:pPr>
      <w:r w:rsidRPr="00FE3D83">
        <w:rPr>
          <w:rFonts w:ascii="Times New Roman" w:hAnsi="Times New Roman"/>
          <w:sz w:val="24"/>
          <w:szCs w:val="24"/>
          <w:lang w:val="it-IT" w:eastAsia="pt-BR"/>
        </w:rPr>
        <w:t xml:space="preserve">QURESHI, A. R. </w:t>
      </w:r>
      <w:r w:rsidRPr="00FE3D83">
        <w:rPr>
          <w:rFonts w:ascii="Times New Roman" w:hAnsi="Times New Roman"/>
          <w:color w:val="000000"/>
          <w:sz w:val="24"/>
          <w:szCs w:val="24"/>
          <w:lang w:val="it-IT" w:eastAsia="pt-BR"/>
        </w:rPr>
        <w:t xml:space="preserve">et al. </w:t>
      </w:r>
      <w:r w:rsidRPr="00DC3FF0">
        <w:rPr>
          <w:rFonts w:ascii="Times New Roman" w:hAnsi="Times New Roman"/>
          <w:color w:val="000000"/>
          <w:sz w:val="24"/>
          <w:szCs w:val="24"/>
          <w:lang w:val="en-US" w:eastAsia="pt-BR"/>
        </w:rPr>
        <w:t xml:space="preserve">Inflammation, malnutrition, and cardiac disease as predictors of mortality in hemodialysis patients. </w:t>
      </w:r>
      <w:r w:rsidRPr="00DC3FF0">
        <w:rPr>
          <w:rFonts w:ascii="Times New Roman" w:hAnsi="Times New Roman"/>
          <w:b/>
          <w:bCs/>
          <w:color w:val="000000"/>
          <w:sz w:val="24"/>
          <w:szCs w:val="24"/>
          <w:lang w:val="en-US" w:eastAsia="pt-BR"/>
        </w:rPr>
        <w:t xml:space="preserve">Journal of American Society of </w:t>
      </w:r>
      <w:proofErr w:type="spellStart"/>
      <w:r w:rsidRPr="00DC3FF0">
        <w:rPr>
          <w:rFonts w:ascii="Times New Roman" w:hAnsi="Times New Roman"/>
          <w:b/>
          <w:bCs/>
          <w:color w:val="000000"/>
          <w:sz w:val="24"/>
          <w:szCs w:val="24"/>
          <w:lang w:val="en-US" w:eastAsia="pt-BR"/>
        </w:rPr>
        <w:t>Nefhrology</w:t>
      </w:r>
      <w:proofErr w:type="spellEnd"/>
      <w:r w:rsidRPr="00DC3FF0">
        <w:rPr>
          <w:rFonts w:ascii="Times New Roman" w:hAnsi="Times New Roman"/>
          <w:bCs/>
          <w:color w:val="000000"/>
          <w:sz w:val="24"/>
          <w:szCs w:val="24"/>
          <w:lang w:val="en-US" w:eastAsia="pt-BR"/>
        </w:rPr>
        <w:t xml:space="preserve">, </w:t>
      </w:r>
      <w:proofErr w:type="spellStart"/>
      <w:r w:rsidRPr="00DC3FF0">
        <w:rPr>
          <w:rFonts w:ascii="Times New Roman" w:hAnsi="Times New Roman"/>
          <w:bCs/>
          <w:color w:val="000000"/>
          <w:sz w:val="24"/>
          <w:szCs w:val="24"/>
          <w:lang w:val="en-US" w:eastAsia="pt-BR"/>
        </w:rPr>
        <w:t>Batimore</w:t>
      </w:r>
      <w:proofErr w:type="spellEnd"/>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v.13, n.1, p.28-36, 2002.</w:t>
      </w:r>
    </w:p>
    <w:p w:rsidR="00B206A4" w:rsidRPr="00DC3FF0" w:rsidRDefault="00B206A4" w:rsidP="00BC2F0A">
      <w:pPr>
        <w:autoSpaceDE w:val="0"/>
        <w:autoSpaceDN w:val="0"/>
        <w:adjustRightInd w:val="0"/>
        <w:spacing w:after="0" w:line="360" w:lineRule="auto"/>
        <w:rPr>
          <w:rFonts w:ascii="Times New Roman" w:hAnsi="Times New Roman"/>
          <w:color w:val="000000"/>
          <w:sz w:val="24"/>
          <w:szCs w:val="24"/>
          <w:lang w:val="en-US"/>
        </w:rPr>
      </w:pPr>
    </w:p>
    <w:p w:rsidR="00B206A4" w:rsidRPr="00DC3FF0" w:rsidRDefault="00B206A4" w:rsidP="00DC3FF0">
      <w:pPr>
        <w:spacing w:after="0" w:line="360" w:lineRule="auto"/>
        <w:rPr>
          <w:rFonts w:ascii="Times New Roman" w:hAnsi="Times New Roman"/>
          <w:sz w:val="24"/>
          <w:szCs w:val="24"/>
        </w:rPr>
      </w:pPr>
      <w:r w:rsidRPr="00FE3D83">
        <w:rPr>
          <w:rFonts w:ascii="Times New Roman" w:hAnsi="Times New Roman"/>
          <w:sz w:val="24"/>
          <w:szCs w:val="24"/>
          <w:lang w:val="it-IT"/>
        </w:rPr>
        <w:t xml:space="preserve">RIELLA, M. C. et </w:t>
      </w:r>
      <w:r>
        <w:rPr>
          <w:rFonts w:ascii="Times New Roman" w:hAnsi="Times New Roman"/>
          <w:sz w:val="24"/>
          <w:szCs w:val="24"/>
          <w:lang w:val="it-IT"/>
        </w:rPr>
        <w:t>al.</w:t>
      </w:r>
      <w:r w:rsidRPr="00FE3D83">
        <w:rPr>
          <w:rFonts w:ascii="Times New Roman" w:hAnsi="Times New Roman"/>
          <w:sz w:val="24"/>
          <w:szCs w:val="24"/>
          <w:lang w:val="it-IT"/>
        </w:rPr>
        <w:t xml:space="preserve"> </w:t>
      </w:r>
      <w:r w:rsidRPr="00DC3FF0">
        <w:rPr>
          <w:rFonts w:ascii="Times New Roman" w:hAnsi="Times New Roman"/>
          <w:sz w:val="24"/>
          <w:szCs w:val="24"/>
        </w:rPr>
        <w:t xml:space="preserve">Insuficiência renal crônica: fisiopatologia da uremia. In: RIELLA, Miguel C. </w:t>
      </w:r>
      <w:r w:rsidRPr="00DC3FF0">
        <w:rPr>
          <w:rFonts w:ascii="Times New Roman" w:hAnsi="Times New Roman"/>
          <w:b/>
          <w:sz w:val="24"/>
          <w:szCs w:val="24"/>
        </w:rPr>
        <w:t>Princípios de nefrologia hidroeletrolíticos</w:t>
      </w:r>
      <w:r w:rsidRPr="00DC3FF0">
        <w:rPr>
          <w:rFonts w:ascii="Times New Roman" w:hAnsi="Times New Roman"/>
          <w:sz w:val="24"/>
          <w:szCs w:val="24"/>
        </w:rPr>
        <w:t>. 4. Ed. Rio de Janeiro: Guanabara Koogan. cap. 37, p.661-690, 2003.</w:t>
      </w:r>
    </w:p>
    <w:p w:rsidR="00B206A4" w:rsidRPr="00DC3FF0" w:rsidRDefault="00B206A4" w:rsidP="00BC2F0A">
      <w:pPr>
        <w:spacing w:after="0" w:line="360" w:lineRule="auto"/>
        <w:rPr>
          <w:rFonts w:ascii="Times New Roman" w:hAnsi="Times New Roman"/>
          <w:sz w:val="24"/>
          <w:szCs w:val="24"/>
        </w:rPr>
      </w:pPr>
    </w:p>
    <w:p w:rsidR="00B206A4" w:rsidRPr="00DC3FF0" w:rsidRDefault="00B206A4" w:rsidP="00DC3FF0">
      <w:pPr>
        <w:spacing w:after="0" w:line="360" w:lineRule="auto"/>
        <w:rPr>
          <w:rFonts w:ascii="Times New Roman" w:hAnsi="Times New Roman"/>
          <w:sz w:val="24"/>
          <w:szCs w:val="24"/>
          <w:lang w:val="en-US"/>
        </w:rPr>
      </w:pPr>
      <w:r w:rsidRPr="00DC3FF0">
        <w:rPr>
          <w:rFonts w:ascii="Times New Roman" w:hAnsi="Times New Roman"/>
          <w:sz w:val="24"/>
          <w:szCs w:val="24"/>
          <w:lang w:eastAsia="pt-BR"/>
        </w:rPr>
        <w:t>RONCO, C. M. D.</w:t>
      </w:r>
      <w:r>
        <w:rPr>
          <w:rFonts w:ascii="Times New Roman" w:hAnsi="Times New Roman"/>
          <w:sz w:val="24"/>
          <w:szCs w:val="24"/>
          <w:lang w:eastAsia="pt-BR"/>
        </w:rPr>
        <w:t xml:space="preserve"> et al</w:t>
      </w:r>
      <w:r w:rsidRPr="00DC3FF0">
        <w:rPr>
          <w:rFonts w:ascii="Times New Roman" w:hAnsi="Times New Roman"/>
          <w:sz w:val="24"/>
          <w:szCs w:val="24"/>
          <w:lang w:eastAsia="pt-BR"/>
        </w:rPr>
        <w:t xml:space="preserve">. </w:t>
      </w:r>
      <w:proofErr w:type="spellStart"/>
      <w:r w:rsidRPr="00FE3D83">
        <w:rPr>
          <w:rFonts w:ascii="Times New Roman" w:hAnsi="Times New Roman"/>
          <w:color w:val="000000"/>
          <w:sz w:val="24"/>
          <w:szCs w:val="24"/>
          <w:lang w:val="en-US" w:eastAsia="pt-BR"/>
        </w:rPr>
        <w:t>Cardiorenal</w:t>
      </w:r>
      <w:proofErr w:type="spellEnd"/>
      <w:r w:rsidRPr="00FE3D83">
        <w:rPr>
          <w:rFonts w:ascii="Times New Roman" w:hAnsi="Times New Roman"/>
          <w:color w:val="000000"/>
          <w:sz w:val="24"/>
          <w:szCs w:val="24"/>
          <w:lang w:val="en-US" w:eastAsia="pt-BR"/>
        </w:rPr>
        <w:t xml:space="preserve"> syndrome. </w:t>
      </w:r>
      <w:r w:rsidRPr="00DC3FF0">
        <w:rPr>
          <w:rFonts w:ascii="Times New Roman" w:hAnsi="Times New Roman"/>
          <w:b/>
          <w:sz w:val="24"/>
          <w:szCs w:val="24"/>
          <w:lang w:val="en-US"/>
        </w:rPr>
        <w:t>Journal of the American College of Cardiology</w:t>
      </w:r>
      <w:r w:rsidRPr="00DC3FF0">
        <w:rPr>
          <w:rFonts w:ascii="Times New Roman" w:hAnsi="Times New Roman"/>
          <w:sz w:val="24"/>
          <w:szCs w:val="24"/>
          <w:lang w:val="en-US"/>
        </w:rPr>
        <w:t>,</w:t>
      </w:r>
      <w:r w:rsidRPr="00DC3FF0">
        <w:rPr>
          <w:rFonts w:ascii="Times New Roman" w:hAnsi="Times New Roman"/>
          <w:b/>
          <w:sz w:val="24"/>
          <w:szCs w:val="24"/>
          <w:lang w:val="en-US"/>
        </w:rPr>
        <w:t xml:space="preserve"> </w:t>
      </w:r>
      <w:r w:rsidRPr="00DC3FF0">
        <w:rPr>
          <w:rFonts w:ascii="Times New Roman" w:hAnsi="Times New Roman"/>
          <w:sz w:val="24"/>
          <w:szCs w:val="24"/>
          <w:lang w:val="en-US"/>
        </w:rPr>
        <w:t>New York,</w:t>
      </w:r>
      <w:r w:rsidRPr="00DC3FF0">
        <w:rPr>
          <w:rFonts w:ascii="Times New Roman" w:hAnsi="Times New Roman"/>
          <w:b/>
          <w:sz w:val="24"/>
          <w:szCs w:val="24"/>
          <w:lang w:val="en-US"/>
        </w:rPr>
        <w:t xml:space="preserve"> </w:t>
      </w:r>
      <w:r w:rsidRPr="00DC3FF0">
        <w:rPr>
          <w:rFonts w:ascii="Times New Roman" w:hAnsi="Times New Roman"/>
          <w:sz w:val="24"/>
          <w:szCs w:val="24"/>
          <w:lang w:val="en-US"/>
        </w:rPr>
        <w:t xml:space="preserve">v. 52, n.19, p.1527-1539, 2008. </w:t>
      </w:r>
    </w:p>
    <w:p w:rsidR="00B206A4" w:rsidRPr="00DC3FF0" w:rsidRDefault="00B206A4" w:rsidP="00BC2F0A">
      <w:pPr>
        <w:pStyle w:val="PargrafodaLista"/>
        <w:spacing w:after="0" w:line="360" w:lineRule="auto"/>
        <w:rPr>
          <w:rFonts w:ascii="Times New Roman" w:hAnsi="Times New Roman"/>
          <w:sz w:val="24"/>
          <w:szCs w:val="24"/>
          <w:lang w:val="en-US"/>
        </w:rPr>
      </w:pPr>
    </w:p>
    <w:p w:rsidR="00B206A4" w:rsidRPr="00DC3FF0" w:rsidRDefault="00B206A4" w:rsidP="00DC3FF0">
      <w:pPr>
        <w:spacing w:after="0" w:line="360" w:lineRule="auto"/>
        <w:rPr>
          <w:rFonts w:ascii="Times New Roman" w:hAnsi="Times New Roman"/>
          <w:color w:val="000000"/>
          <w:sz w:val="24"/>
          <w:szCs w:val="24"/>
          <w:lang w:val="en-US" w:eastAsia="pt-BR"/>
        </w:rPr>
      </w:pPr>
      <w:r w:rsidRPr="00DC3FF0">
        <w:rPr>
          <w:rFonts w:ascii="Times New Roman" w:hAnsi="Times New Roman"/>
          <w:color w:val="000000"/>
          <w:sz w:val="24"/>
          <w:szCs w:val="24"/>
          <w:lang w:val="en-US" w:eastAsia="pt-BR"/>
        </w:rPr>
        <w:lastRenderedPageBreak/>
        <w:t>SALAHUDEEN, A. K.</w:t>
      </w:r>
      <w:r>
        <w:rPr>
          <w:rFonts w:ascii="Times New Roman" w:hAnsi="Times New Roman"/>
          <w:color w:val="000000"/>
          <w:sz w:val="24"/>
          <w:szCs w:val="24"/>
          <w:lang w:val="en-US" w:eastAsia="pt-BR"/>
        </w:rPr>
        <w:t xml:space="preserve"> et al</w:t>
      </w:r>
      <w:r w:rsidRPr="00DC3FF0">
        <w:rPr>
          <w:rFonts w:ascii="Times New Roman" w:hAnsi="Times New Roman"/>
          <w:color w:val="000000"/>
          <w:sz w:val="24"/>
          <w:szCs w:val="24"/>
          <w:lang w:val="en-US" w:eastAsia="pt-BR"/>
        </w:rPr>
        <w:t xml:space="preserve">. Risk factors for higher mortality at highest levels of </w:t>
      </w:r>
      <w:proofErr w:type="spellStart"/>
      <w:r w:rsidRPr="00DC3FF0">
        <w:rPr>
          <w:rFonts w:ascii="Times New Roman" w:hAnsi="Times New Roman"/>
          <w:color w:val="000000"/>
          <w:sz w:val="24"/>
          <w:szCs w:val="24"/>
          <w:lang w:val="en-US" w:eastAsia="pt-BR"/>
        </w:rPr>
        <w:t>spKt</w:t>
      </w:r>
      <w:proofErr w:type="spellEnd"/>
      <w:r w:rsidRPr="00DC3FF0">
        <w:rPr>
          <w:rFonts w:ascii="Times New Roman" w:hAnsi="Times New Roman"/>
          <w:color w:val="000000"/>
          <w:sz w:val="24"/>
          <w:szCs w:val="24"/>
          <w:lang w:val="en-US" w:eastAsia="pt-BR"/>
        </w:rPr>
        <w:t xml:space="preserve">/V in </w:t>
      </w:r>
      <w:proofErr w:type="spellStart"/>
      <w:r w:rsidRPr="00DC3FF0">
        <w:rPr>
          <w:rFonts w:ascii="Times New Roman" w:hAnsi="Times New Roman"/>
          <w:color w:val="000000"/>
          <w:sz w:val="24"/>
          <w:szCs w:val="24"/>
          <w:lang w:val="en-US" w:eastAsia="pt-BR"/>
        </w:rPr>
        <w:t>haemodialysis</w:t>
      </w:r>
      <w:proofErr w:type="spellEnd"/>
      <w:r w:rsidRPr="00DC3FF0">
        <w:rPr>
          <w:rFonts w:ascii="Times New Roman" w:hAnsi="Times New Roman"/>
          <w:color w:val="000000"/>
          <w:sz w:val="24"/>
          <w:szCs w:val="24"/>
          <w:lang w:val="en-US" w:eastAsia="pt-BR"/>
        </w:rPr>
        <w:t xml:space="preserve"> patients. </w:t>
      </w:r>
      <w:r w:rsidRPr="00DC3FF0">
        <w:rPr>
          <w:rFonts w:ascii="Times New Roman" w:hAnsi="Times New Roman"/>
          <w:b/>
          <w:bCs/>
          <w:color w:val="000000"/>
          <w:sz w:val="24"/>
          <w:szCs w:val="24"/>
          <w:lang w:val="en-US" w:eastAsia="pt-BR"/>
        </w:rPr>
        <w:t>Nephrology, Dialysis, Transplantation</w:t>
      </w:r>
      <w:r w:rsidRPr="00DC3FF0">
        <w:rPr>
          <w:rFonts w:ascii="Times New Roman" w:hAnsi="Times New Roman"/>
          <w:bCs/>
          <w:color w:val="000000"/>
          <w:sz w:val="24"/>
          <w:szCs w:val="24"/>
          <w:lang w:val="en-US" w:eastAsia="pt-BR"/>
        </w:rPr>
        <w:t>,</w:t>
      </w:r>
      <w:r w:rsidRPr="00DC3FF0">
        <w:rPr>
          <w:rFonts w:ascii="Times New Roman" w:hAnsi="Times New Roman"/>
          <w:b/>
          <w:bCs/>
          <w:color w:val="000000"/>
          <w:sz w:val="24"/>
          <w:szCs w:val="24"/>
          <w:lang w:val="en-US" w:eastAsia="pt-BR"/>
        </w:rPr>
        <w:t xml:space="preserve"> </w:t>
      </w:r>
      <w:r w:rsidRPr="00DC3FF0">
        <w:rPr>
          <w:rFonts w:ascii="Times New Roman" w:hAnsi="Times New Roman"/>
          <w:bCs/>
          <w:color w:val="000000"/>
          <w:sz w:val="24"/>
          <w:szCs w:val="24"/>
          <w:lang w:val="en-US" w:eastAsia="pt-BR"/>
        </w:rPr>
        <w:t>Oxford,</w:t>
      </w:r>
      <w:r w:rsidRPr="00DC3FF0">
        <w:rPr>
          <w:rFonts w:ascii="Times New Roman" w:hAnsi="Times New Roman"/>
          <w:b/>
          <w:bCs/>
          <w:color w:val="000000"/>
          <w:sz w:val="24"/>
          <w:szCs w:val="24"/>
          <w:lang w:val="en-US" w:eastAsia="pt-BR"/>
        </w:rPr>
        <w:t xml:space="preserve"> </w:t>
      </w:r>
      <w:r w:rsidRPr="00DC3FF0">
        <w:rPr>
          <w:rFonts w:ascii="Times New Roman" w:hAnsi="Times New Roman"/>
          <w:color w:val="000000"/>
          <w:sz w:val="24"/>
          <w:szCs w:val="24"/>
          <w:lang w:val="en-US" w:eastAsia="pt-BR"/>
        </w:rPr>
        <w:t>v.18, n.7, p.1339-1344, 2003.</w:t>
      </w:r>
    </w:p>
    <w:p w:rsidR="00B206A4" w:rsidRPr="00DC3FF0" w:rsidRDefault="00B206A4" w:rsidP="00BC2F0A">
      <w:pPr>
        <w:spacing w:after="0" w:line="360" w:lineRule="auto"/>
        <w:ind w:firstLine="120"/>
        <w:rPr>
          <w:rFonts w:ascii="Times New Roman" w:hAnsi="Times New Roman"/>
          <w:color w:val="000000"/>
          <w:sz w:val="24"/>
          <w:szCs w:val="24"/>
          <w:lang w:val="en-US" w:eastAsia="pt-BR"/>
        </w:rPr>
      </w:pPr>
    </w:p>
    <w:p w:rsidR="00B206A4" w:rsidRPr="00DC3FF0" w:rsidRDefault="00B206A4" w:rsidP="00DC3FF0">
      <w:pPr>
        <w:spacing w:after="0" w:line="360" w:lineRule="auto"/>
        <w:rPr>
          <w:rFonts w:ascii="Times New Roman" w:hAnsi="Times New Roman"/>
          <w:color w:val="231F20"/>
          <w:sz w:val="24"/>
          <w:szCs w:val="24"/>
          <w:lang w:eastAsia="pt-BR"/>
        </w:rPr>
      </w:pPr>
      <w:r w:rsidRPr="00986AED">
        <w:rPr>
          <w:rFonts w:ascii="Times New Roman" w:hAnsi="Times New Roman"/>
          <w:color w:val="231F20"/>
          <w:sz w:val="24"/>
          <w:szCs w:val="24"/>
          <w:lang w:val="en-US" w:eastAsia="pt-BR"/>
        </w:rPr>
        <w:t xml:space="preserve">SANTOS, N. S. J. et al. </w:t>
      </w:r>
      <w:r w:rsidRPr="00DC3FF0">
        <w:rPr>
          <w:rFonts w:ascii="Times New Roman" w:hAnsi="Times New Roman"/>
          <w:color w:val="231F20"/>
          <w:sz w:val="24"/>
          <w:szCs w:val="24"/>
          <w:lang w:eastAsia="pt-BR"/>
        </w:rPr>
        <w:t xml:space="preserve">Albumina sérica como marcador nutricional de pacientes em hemodiálise. </w:t>
      </w:r>
      <w:r w:rsidRPr="00DC3FF0">
        <w:rPr>
          <w:rFonts w:ascii="Times New Roman" w:hAnsi="Times New Roman"/>
          <w:b/>
          <w:bCs/>
          <w:color w:val="231F20"/>
          <w:sz w:val="24"/>
          <w:szCs w:val="24"/>
          <w:lang w:eastAsia="pt-BR"/>
        </w:rPr>
        <w:t>Revista de Nutrição</w:t>
      </w:r>
      <w:r w:rsidRPr="00DC3FF0">
        <w:rPr>
          <w:rFonts w:ascii="Times New Roman" w:hAnsi="Times New Roman"/>
          <w:bCs/>
          <w:color w:val="231F20"/>
          <w:sz w:val="24"/>
          <w:szCs w:val="24"/>
          <w:lang w:eastAsia="pt-BR"/>
        </w:rPr>
        <w:t>,</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Campinas,</w:t>
      </w:r>
      <w:r w:rsidRPr="00DC3FF0">
        <w:rPr>
          <w:rFonts w:ascii="Times New Roman" w:hAnsi="Times New Roman"/>
          <w:b/>
          <w:bCs/>
          <w:color w:val="231F20"/>
          <w:sz w:val="24"/>
          <w:szCs w:val="24"/>
          <w:lang w:eastAsia="pt-BR"/>
        </w:rPr>
        <w:t xml:space="preserve"> </w:t>
      </w:r>
      <w:r w:rsidRPr="00DC3FF0">
        <w:rPr>
          <w:rFonts w:ascii="Times New Roman" w:hAnsi="Times New Roman"/>
          <w:color w:val="231F20"/>
          <w:sz w:val="24"/>
          <w:szCs w:val="24"/>
          <w:lang w:eastAsia="pt-BR"/>
        </w:rPr>
        <w:t>v.17, n.3, p. 339-349, 2004.</w:t>
      </w:r>
    </w:p>
    <w:p w:rsidR="00B206A4" w:rsidRPr="00DC3FF0" w:rsidRDefault="00B206A4" w:rsidP="00BC2F0A">
      <w:pPr>
        <w:spacing w:after="0" w:line="360" w:lineRule="auto"/>
        <w:rPr>
          <w:rFonts w:ascii="Times New Roman" w:hAnsi="Times New Roman"/>
          <w:color w:val="231F2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986AED">
        <w:rPr>
          <w:rFonts w:ascii="Times New Roman" w:hAnsi="Times New Roman"/>
          <w:color w:val="231F20"/>
          <w:sz w:val="24"/>
          <w:szCs w:val="24"/>
          <w:lang w:eastAsia="pt-BR"/>
        </w:rPr>
        <w:t xml:space="preserve">SESSO, R. C. C. et al. </w:t>
      </w:r>
      <w:proofErr w:type="spellStart"/>
      <w:r w:rsidRPr="00FE3D83">
        <w:rPr>
          <w:rFonts w:ascii="Times New Roman" w:hAnsi="Times New Roman"/>
          <w:color w:val="000000"/>
          <w:sz w:val="24"/>
          <w:szCs w:val="24"/>
          <w:lang w:eastAsia="pt-BR"/>
        </w:rPr>
        <w:t>Brazilian</w:t>
      </w:r>
      <w:proofErr w:type="spellEnd"/>
      <w:r w:rsidRPr="00FE3D83">
        <w:rPr>
          <w:rFonts w:ascii="Times New Roman" w:hAnsi="Times New Roman"/>
          <w:color w:val="000000"/>
          <w:sz w:val="24"/>
          <w:szCs w:val="24"/>
          <w:lang w:eastAsia="pt-BR"/>
        </w:rPr>
        <w:t xml:space="preserve"> </w:t>
      </w:r>
      <w:proofErr w:type="spellStart"/>
      <w:r w:rsidRPr="00FE3D83">
        <w:rPr>
          <w:rFonts w:ascii="Times New Roman" w:hAnsi="Times New Roman"/>
          <w:color w:val="000000"/>
          <w:sz w:val="24"/>
          <w:szCs w:val="24"/>
          <w:lang w:eastAsia="pt-BR"/>
        </w:rPr>
        <w:t>dialysis</w:t>
      </w:r>
      <w:proofErr w:type="spellEnd"/>
      <w:r w:rsidRPr="00FE3D83">
        <w:rPr>
          <w:rFonts w:ascii="Times New Roman" w:hAnsi="Times New Roman"/>
          <w:color w:val="000000"/>
          <w:sz w:val="24"/>
          <w:szCs w:val="24"/>
          <w:lang w:eastAsia="pt-BR"/>
        </w:rPr>
        <w:t xml:space="preserve"> </w:t>
      </w:r>
      <w:proofErr w:type="spellStart"/>
      <w:r w:rsidRPr="00FE3D83">
        <w:rPr>
          <w:rFonts w:ascii="Times New Roman" w:hAnsi="Times New Roman"/>
          <w:color w:val="000000"/>
          <w:sz w:val="24"/>
          <w:szCs w:val="24"/>
          <w:lang w:eastAsia="pt-BR"/>
        </w:rPr>
        <w:t>census</w:t>
      </w:r>
      <w:proofErr w:type="spellEnd"/>
      <w:r w:rsidRPr="00FE3D83">
        <w:rPr>
          <w:rFonts w:ascii="Times New Roman" w:hAnsi="Times New Roman"/>
          <w:color w:val="000000"/>
          <w:sz w:val="24"/>
          <w:szCs w:val="24"/>
          <w:lang w:eastAsia="pt-BR"/>
        </w:rPr>
        <w:t>, 2009.</w:t>
      </w:r>
      <w:r w:rsidRPr="00FE3D83">
        <w:rPr>
          <w:rFonts w:ascii="Times New Roman" w:hAnsi="Times New Roman"/>
          <w:b/>
          <w:bCs/>
          <w:color w:val="000000"/>
          <w:sz w:val="24"/>
          <w:szCs w:val="24"/>
          <w:lang w:eastAsia="pt-BR"/>
        </w:rPr>
        <w:t xml:space="preserve">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São Paulo, v.32, n.4, p.374-378,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SILVA, L. A. B. et al. Sobrevida em hemodiálise crônica: estudo de coorte de1009 pacientes em 25 anos.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 xml:space="preserve">São Paulo, v.31, n.3, 2009. </w:t>
      </w:r>
    </w:p>
    <w:p w:rsidR="00B206A4" w:rsidRPr="00DC3FF0" w:rsidRDefault="00B206A4" w:rsidP="00BC2F0A">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 xml:space="preserve">SILVEIRA, C. B. et al. Qualidade de vida em pacientes em hemodiálise em um hospital público de Belém – Pará. </w:t>
      </w:r>
      <w:r w:rsidRPr="00DC3FF0">
        <w:rPr>
          <w:rFonts w:ascii="Times New Roman" w:hAnsi="Times New Roman"/>
          <w:b/>
          <w:bCs/>
          <w:color w:val="000000"/>
          <w:sz w:val="24"/>
          <w:szCs w:val="24"/>
          <w:lang w:eastAsia="pt-BR"/>
        </w:rPr>
        <w:t>Jornal Brasileiro de Nefrologia</w:t>
      </w:r>
      <w:r w:rsidRPr="00DC3FF0">
        <w:rPr>
          <w:rFonts w:ascii="Times New Roman" w:hAnsi="Times New Roman"/>
          <w:bCs/>
          <w:color w:val="000000"/>
          <w:sz w:val="24"/>
          <w:szCs w:val="24"/>
          <w:lang w:eastAsia="pt-BR"/>
        </w:rPr>
        <w:t xml:space="preserve">, </w:t>
      </w:r>
      <w:r w:rsidRPr="00DC3FF0">
        <w:rPr>
          <w:rFonts w:ascii="Times New Roman" w:hAnsi="Times New Roman"/>
          <w:color w:val="000000"/>
          <w:sz w:val="24"/>
          <w:szCs w:val="24"/>
          <w:lang w:eastAsia="pt-BR"/>
        </w:rPr>
        <w:t>São Paulo, v.32, n.1, p. 39-44, 2010.</w:t>
      </w:r>
    </w:p>
    <w:p w:rsidR="00B206A4" w:rsidRPr="00DC3FF0" w:rsidRDefault="00B206A4" w:rsidP="004D1530">
      <w:pPr>
        <w:pStyle w:val="PargrafodaLista"/>
        <w:spacing w:after="0" w:line="360" w:lineRule="auto"/>
        <w:rPr>
          <w:rFonts w:ascii="Times New Roman" w:hAnsi="Times New Roman"/>
          <w:color w:val="000000"/>
          <w:sz w:val="24"/>
          <w:szCs w:val="24"/>
          <w:lang w:eastAsia="pt-BR"/>
        </w:rPr>
      </w:pPr>
    </w:p>
    <w:p w:rsidR="00B206A4" w:rsidRPr="00DC3FF0" w:rsidRDefault="00B206A4" w:rsidP="00DC3FF0">
      <w:pPr>
        <w:spacing w:after="0" w:line="360" w:lineRule="auto"/>
        <w:rPr>
          <w:rFonts w:ascii="Times New Roman" w:hAnsi="Times New Roman"/>
          <w:color w:val="000000"/>
          <w:sz w:val="24"/>
          <w:szCs w:val="24"/>
          <w:lang w:eastAsia="pt-BR"/>
        </w:rPr>
      </w:pPr>
      <w:r w:rsidRPr="00DC3FF0">
        <w:rPr>
          <w:rFonts w:ascii="Times New Roman" w:hAnsi="Times New Roman"/>
          <w:color w:val="000000"/>
          <w:sz w:val="24"/>
          <w:szCs w:val="24"/>
          <w:lang w:eastAsia="pt-BR"/>
        </w:rPr>
        <w:t>VALENZUELA, R. G. V.</w:t>
      </w:r>
      <w:r>
        <w:rPr>
          <w:rFonts w:ascii="Times New Roman" w:hAnsi="Times New Roman"/>
          <w:color w:val="000000"/>
          <w:sz w:val="24"/>
          <w:szCs w:val="24"/>
          <w:lang w:eastAsia="pt-BR"/>
        </w:rPr>
        <w:t xml:space="preserve"> et al</w:t>
      </w:r>
      <w:r w:rsidRPr="00DC3FF0">
        <w:rPr>
          <w:rFonts w:ascii="Times New Roman" w:hAnsi="Times New Roman"/>
          <w:color w:val="000000"/>
          <w:sz w:val="24"/>
          <w:szCs w:val="24"/>
          <w:lang w:eastAsia="pt-BR"/>
        </w:rPr>
        <w:t xml:space="preserve">. Estado nutricional de pacientes com IRC em hemodiálise no Amazonas. </w:t>
      </w:r>
      <w:r w:rsidRPr="00DC3FF0">
        <w:rPr>
          <w:rFonts w:ascii="Times New Roman" w:hAnsi="Times New Roman"/>
          <w:b/>
          <w:bCs/>
          <w:color w:val="000000"/>
          <w:sz w:val="24"/>
          <w:szCs w:val="24"/>
          <w:lang w:eastAsia="pt-BR"/>
        </w:rPr>
        <w:t>Revista da Associação Médica Brasileira</w:t>
      </w:r>
      <w:r w:rsidRPr="00DC3FF0">
        <w:rPr>
          <w:rFonts w:ascii="Times New Roman" w:hAnsi="Times New Roman"/>
          <w:bCs/>
          <w:color w:val="000000"/>
          <w:sz w:val="24"/>
          <w:szCs w:val="24"/>
          <w:lang w:eastAsia="pt-BR"/>
        </w:rPr>
        <w:t>,</w:t>
      </w:r>
      <w:r w:rsidRPr="00DC3FF0">
        <w:rPr>
          <w:rFonts w:ascii="Times New Roman" w:hAnsi="Times New Roman"/>
          <w:b/>
          <w:bCs/>
          <w:color w:val="000000"/>
          <w:sz w:val="24"/>
          <w:szCs w:val="24"/>
          <w:lang w:eastAsia="pt-BR"/>
        </w:rPr>
        <w:t xml:space="preserve"> </w:t>
      </w:r>
      <w:r w:rsidRPr="00DC3FF0">
        <w:rPr>
          <w:rFonts w:ascii="Times New Roman" w:hAnsi="Times New Roman"/>
          <w:color w:val="000000"/>
          <w:sz w:val="24"/>
          <w:szCs w:val="24"/>
          <w:lang w:eastAsia="pt-BR"/>
        </w:rPr>
        <w:t xml:space="preserve">São Paulo, v.49, n.1, p. 72-78, 2003. </w:t>
      </w:r>
    </w:p>
    <w:p w:rsidR="00B206A4" w:rsidRPr="00DC3FF0" w:rsidRDefault="00B206A4" w:rsidP="00BC2F0A">
      <w:pPr>
        <w:spacing w:after="0" w:line="360" w:lineRule="auto"/>
        <w:rPr>
          <w:rFonts w:ascii="Times New Roman" w:hAnsi="Times New Roman"/>
          <w:color w:val="000000"/>
          <w:sz w:val="24"/>
          <w:szCs w:val="24"/>
          <w:lang w:eastAsia="pt-BR"/>
        </w:rPr>
      </w:pPr>
    </w:p>
    <w:p w:rsidR="00B206A4" w:rsidRPr="00DC3FF0" w:rsidRDefault="00B206A4" w:rsidP="00DC3FF0">
      <w:pPr>
        <w:pStyle w:val="Ttulo2"/>
        <w:spacing w:before="0" w:line="360" w:lineRule="auto"/>
        <w:rPr>
          <w:rFonts w:ascii="Times New Roman" w:hAnsi="Times New Roman"/>
          <w:b w:val="0"/>
          <w:color w:val="000000"/>
          <w:sz w:val="24"/>
          <w:szCs w:val="24"/>
        </w:rPr>
      </w:pPr>
      <w:r w:rsidRPr="00DC3FF0">
        <w:rPr>
          <w:rFonts w:ascii="Times New Roman" w:hAnsi="Times New Roman"/>
          <w:b w:val="0"/>
          <w:color w:val="000000"/>
          <w:sz w:val="24"/>
          <w:szCs w:val="24"/>
          <w:lang w:val="en-US"/>
        </w:rPr>
        <w:t>YOUNG, E. W.</w:t>
      </w:r>
      <w:r>
        <w:rPr>
          <w:rFonts w:ascii="Times New Roman" w:hAnsi="Times New Roman"/>
          <w:b w:val="0"/>
          <w:color w:val="000000"/>
          <w:sz w:val="24"/>
          <w:szCs w:val="24"/>
          <w:lang w:val="en-US"/>
        </w:rPr>
        <w:t xml:space="preserve"> </w:t>
      </w:r>
      <w:r w:rsidRPr="00DC3FF0">
        <w:rPr>
          <w:rFonts w:ascii="Times New Roman" w:hAnsi="Times New Roman"/>
          <w:b w:val="0"/>
          <w:color w:val="000000"/>
          <w:sz w:val="24"/>
          <w:szCs w:val="24"/>
          <w:lang w:val="en-US"/>
        </w:rPr>
        <w:t xml:space="preserve">et al. The Dialysis Outcomes and Practice Patterns Study (DOPPS): An international hemodialysis study. </w:t>
      </w:r>
      <w:proofErr w:type="spellStart"/>
      <w:r w:rsidRPr="00986AED">
        <w:rPr>
          <w:rFonts w:ascii="Times New Roman" w:hAnsi="Times New Roman"/>
          <w:iCs/>
          <w:color w:val="000000"/>
          <w:sz w:val="24"/>
          <w:szCs w:val="24"/>
        </w:rPr>
        <w:t>Kidney</w:t>
      </w:r>
      <w:proofErr w:type="spellEnd"/>
      <w:r w:rsidRPr="00986AED">
        <w:rPr>
          <w:rFonts w:ascii="Times New Roman" w:hAnsi="Times New Roman"/>
          <w:iCs/>
          <w:color w:val="000000"/>
          <w:sz w:val="24"/>
          <w:szCs w:val="24"/>
        </w:rPr>
        <w:t xml:space="preserve"> </w:t>
      </w:r>
      <w:proofErr w:type="spellStart"/>
      <w:r w:rsidRPr="00986AED">
        <w:rPr>
          <w:rFonts w:ascii="Times New Roman" w:hAnsi="Times New Roman"/>
          <w:iCs/>
          <w:color w:val="000000"/>
          <w:sz w:val="24"/>
          <w:szCs w:val="24"/>
        </w:rPr>
        <w:t>International</w:t>
      </w:r>
      <w:proofErr w:type="spellEnd"/>
      <w:r w:rsidRPr="00986AED">
        <w:rPr>
          <w:rFonts w:ascii="Times New Roman" w:hAnsi="Times New Roman"/>
          <w:b w:val="0"/>
          <w:iCs/>
          <w:color w:val="000000"/>
          <w:sz w:val="24"/>
          <w:szCs w:val="24"/>
        </w:rPr>
        <w:t xml:space="preserve">, New York, </w:t>
      </w:r>
      <w:r w:rsidRPr="00DC3FF0">
        <w:rPr>
          <w:rFonts w:ascii="Times New Roman" w:hAnsi="Times New Roman"/>
          <w:b w:val="0"/>
          <w:iCs/>
          <w:color w:val="000000"/>
          <w:sz w:val="24"/>
          <w:szCs w:val="24"/>
        </w:rPr>
        <w:t>v.</w:t>
      </w:r>
      <w:r w:rsidRPr="00DC3FF0">
        <w:rPr>
          <w:rFonts w:ascii="Times New Roman" w:hAnsi="Times New Roman"/>
          <w:b w:val="0"/>
          <w:bCs w:val="0"/>
          <w:color w:val="000000"/>
          <w:sz w:val="24"/>
          <w:szCs w:val="24"/>
        </w:rPr>
        <w:t>57</w:t>
      </w:r>
      <w:r w:rsidRPr="00DC3FF0">
        <w:rPr>
          <w:rFonts w:ascii="Times New Roman" w:hAnsi="Times New Roman"/>
          <w:b w:val="0"/>
          <w:color w:val="000000"/>
          <w:sz w:val="24"/>
          <w:szCs w:val="24"/>
        </w:rPr>
        <w:t>, p.74-81, 2010.</w:t>
      </w:r>
    </w:p>
    <w:p w:rsidR="00B206A4" w:rsidRPr="00DC3FF0" w:rsidRDefault="00B206A4" w:rsidP="00091960">
      <w:pPr>
        <w:rPr>
          <w:rFonts w:ascii="Times New Roman" w:hAnsi="Times New Roman"/>
          <w:sz w:val="24"/>
          <w:szCs w:val="24"/>
        </w:rPr>
      </w:pPr>
    </w:p>
    <w:p w:rsidR="00B206A4" w:rsidRPr="00374D73" w:rsidRDefault="00B206A4" w:rsidP="00374D73">
      <w:pPr>
        <w:spacing w:after="0" w:line="360" w:lineRule="auto"/>
        <w:rPr>
          <w:rFonts w:ascii="Times New Roman" w:hAnsi="Times New Roman"/>
          <w:sz w:val="24"/>
          <w:szCs w:val="24"/>
        </w:rPr>
      </w:pPr>
      <w:r w:rsidRPr="00374D73">
        <w:rPr>
          <w:rFonts w:ascii="Times New Roman" w:hAnsi="Times New Roman"/>
          <w:sz w:val="24"/>
          <w:szCs w:val="24"/>
        </w:rPr>
        <w:t xml:space="preserve">ZATZ, R. Insuficiência renal crônica (IRC). In: RIELLA, Miguel C. </w:t>
      </w:r>
      <w:r w:rsidRPr="00374D73">
        <w:rPr>
          <w:rFonts w:ascii="Times New Roman" w:hAnsi="Times New Roman"/>
          <w:b/>
          <w:sz w:val="24"/>
          <w:szCs w:val="24"/>
        </w:rPr>
        <w:t>Princípios de nefrologia hidroeletrolíticos</w:t>
      </w:r>
      <w:r w:rsidRPr="00374D73">
        <w:rPr>
          <w:rFonts w:ascii="Times New Roman" w:hAnsi="Times New Roman"/>
          <w:sz w:val="24"/>
          <w:szCs w:val="24"/>
        </w:rPr>
        <w:t>. 4. Ed. Rio de Janeiro: Guanabara Koogan. cap. 36, p. 649-660, 2003.</w:t>
      </w:r>
    </w:p>
    <w:p w:rsidR="00B206A4" w:rsidRPr="00DC3FF0" w:rsidRDefault="00B206A4" w:rsidP="004C15E4">
      <w:pPr>
        <w:spacing w:line="360" w:lineRule="auto"/>
        <w:jc w:val="center"/>
        <w:rPr>
          <w:rFonts w:ascii="Times New Roman" w:hAnsi="Times New Roman"/>
          <w:sz w:val="24"/>
          <w:szCs w:val="24"/>
          <w:lang w:val="en-US"/>
        </w:rPr>
      </w:pPr>
    </w:p>
    <w:p w:rsidR="00B206A4" w:rsidRPr="00DC3FF0" w:rsidRDefault="00B206A4" w:rsidP="00DD4FBC">
      <w:pPr>
        <w:spacing w:after="0" w:line="480" w:lineRule="auto"/>
        <w:ind w:firstLine="708"/>
        <w:jc w:val="both"/>
        <w:rPr>
          <w:rFonts w:ascii="Times New Roman" w:hAnsi="Times New Roman"/>
          <w:sz w:val="24"/>
          <w:szCs w:val="24"/>
        </w:rPr>
      </w:pPr>
    </w:p>
    <w:sectPr w:rsidR="00B206A4" w:rsidRPr="00DC3FF0" w:rsidSect="00E6669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06" w:rsidRDefault="00552F06" w:rsidP="00F85903">
      <w:pPr>
        <w:spacing w:after="0" w:line="240" w:lineRule="auto"/>
      </w:pPr>
      <w:r>
        <w:separator/>
      </w:r>
    </w:p>
  </w:endnote>
  <w:endnote w:type="continuationSeparator" w:id="0">
    <w:p w:rsidR="00552F06" w:rsidRDefault="00552F06" w:rsidP="00F8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06" w:rsidRDefault="00552F06" w:rsidP="00F85903">
      <w:pPr>
        <w:spacing w:after="0" w:line="240" w:lineRule="auto"/>
      </w:pPr>
      <w:r>
        <w:separator/>
      </w:r>
    </w:p>
  </w:footnote>
  <w:footnote w:type="continuationSeparator" w:id="0">
    <w:p w:rsidR="00552F06" w:rsidRDefault="00552F06" w:rsidP="00F859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93E2EDA"/>
    <w:lvl w:ilvl="0">
      <w:start w:val="1"/>
      <w:numFmt w:val="bullet"/>
      <w:lvlText w:val=""/>
      <w:lvlJc w:val="left"/>
      <w:pPr>
        <w:tabs>
          <w:tab w:val="num" w:pos="360"/>
        </w:tabs>
        <w:ind w:left="360" w:hanging="360"/>
      </w:pPr>
      <w:rPr>
        <w:rFonts w:ascii="Symbol" w:hAnsi="Symbol" w:hint="default"/>
      </w:rPr>
    </w:lvl>
  </w:abstractNum>
  <w:abstractNum w:abstractNumId="1">
    <w:nsid w:val="011956EF"/>
    <w:multiLevelType w:val="hybridMultilevel"/>
    <w:tmpl w:val="28B8973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F902914"/>
    <w:multiLevelType w:val="hybridMultilevel"/>
    <w:tmpl w:val="5D3AD6C0"/>
    <w:lvl w:ilvl="0" w:tplc="2EE09B6E">
      <w:start w:val="1"/>
      <w:numFmt w:val="decimal"/>
      <w:lvlText w:val="%1"/>
      <w:lvlJc w:val="left"/>
      <w:pPr>
        <w:ind w:left="720" w:hanging="360"/>
      </w:pPr>
      <w:rPr>
        <w:rFonts w:cs="Times New Roman" w:hint="default"/>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11755788"/>
    <w:multiLevelType w:val="hybridMultilevel"/>
    <w:tmpl w:val="BA7EE738"/>
    <w:lvl w:ilvl="0" w:tplc="FF923258">
      <w:start w:val="1"/>
      <w:numFmt w:val="decimal"/>
      <w:lvlText w:val="%1"/>
      <w:lvlJc w:val="left"/>
      <w:pPr>
        <w:tabs>
          <w:tab w:val="num" w:pos="780"/>
        </w:tabs>
        <w:ind w:left="780" w:hanging="4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AFC5279"/>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2CF43753"/>
    <w:multiLevelType w:val="hybridMultilevel"/>
    <w:tmpl w:val="22AC65FC"/>
    <w:lvl w:ilvl="0" w:tplc="E7BEFCA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73A70D7"/>
    <w:multiLevelType w:val="hybridMultilevel"/>
    <w:tmpl w:val="7C7E8978"/>
    <w:lvl w:ilvl="0" w:tplc="2B5E40C4">
      <w:start w:val="1"/>
      <w:numFmt w:val="decimal"/>
      <w:lvlText w:val="%1 "/>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3EA44BDF"/>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862297F"/>
    <w:multiLevelType w:val="hybridMultilevel"/>
    <w:tmpl w:val="67DA6EBE"/>
    <w:lvl w:ilvl="0" w:tplc="934075FA">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56665FD9"/>
    <w:multiLevelType w:val="hybridMultilevel"/>
    <w:tmpl w:val="0B5E5B5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630B751A"/>
    <w:multiLevelType w:val="hybridMultilevel"/>
    <w:tmpl w:val="4162BC54"/>
    <w:lvl w:ilvl="0" w:tplc="46800F6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3"/>
  </w:num>
  <w:num w:numId="8">
    <w:abstractNumId w:val="2"/>
  </w:num>
  <w:num w:numId="9">
    <w:abstractNumId w:val="7"/>
  </w:num>
  <w:num w:numId="10">
    <w:abstractNumId w:val="10"/>
  </w:num>
  <w:num w:numId="11">
    <w:abstractNumId w:val="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7186D"/>
    <w:rsid w:val="000004B0"/>
    <w:rsid w:val="00004BFA"/>
    <w:rsid w:val="00006FAC"/>
    <w:rsid w:val="00033C8E"/>
    <w:rsid w:val="00076677"/>
    <w:rsid w:val="00082596"/>
    <w:rsid w:val="00086BC9"/>
    <w:rsid w:val="00091960"/>
    <w:rsid w:val="0009376E"/>
    <w:rsid w:val="000A0C64"/>
    <w:rsid w:val="000A521F"/>
    <w:rsid w:val="000D6B4C"/>
    <w:rsid w:val="0011261F"/>
    <w:rsid w:val="0012295D"/>
    <w:rsid w:val="00147DA0"/>
    <w:rsid w:val="00150008"/>
    <w:rsid w:val="00167378"/>
    <w:rsid w:val="001809FE"/>
    <w:rsid w:val="001A79AA"/>
    <w:rsid w:val="001D1AB7"/>
    <w:rsid w:val="00202635"/>
    <w:rsid w:val="00203D89"/>
    <w:rsid w:val="002252FB"/>
    <w:rsid w:val="0023084B"/>
    <w:rsid w:val="00256E12"/>
    <w:rsid w:val="002649B0"/>
    <w:rsid w:val="00266FD1"/>
    <w:rsid w:val="00273747"/>
    <w:rsid w:val="0028683C"/>
    <w:rsid w:val="002C3A56"/>
    <w:rsid w:val="002E3A2B"/>
    <w:rsid w:val="002F6DBF"/>
    <w:rsid w:val="00335DD5"/>
    <w:rsid w:val="003644BC"/>
    <w:rsid w:val="003708D5"/>
    <w:rsid w:val="00370A25"/>
    <w:rsid w:val="003726F8"/>
    <w:rsid w:val="00374D73"/>
    <w:rsid w:val="003970CE"/>
    <w:rsid w:val="00397175"/>
    <w:rsid w:val="003B37F5"/>
    <w:rsid w:val="003B42B4"/>
    <w:rsid w:val="003C22E9"/>
    <w:rsid w:val="00417FCA"/>
    <w:rsid w:val="00427553"/>
    <w:rsid w:val="00434CAA"/>
    <w:rsid w:val="00435571"/>
    <w:rsid w:val="00445A19"/>
    <w:rsid w:val="00470E68"/>
    <w:rsid w:val="00490A9D"/>
    <w:rsid w:val="004A08B1"/>
    <w:rsid w:val="004C15E4"/>
    <w:rsid w:val="004D1530"/>
    <w:rsid w:val="00516B42"/>
    <w:rsid w:val="005254F9"/>
    <w:rsid w:val="00544403"/>
    <w:rsid w:val="005526FB"/>
    <w:rsid w:val="00552F06"/>
    <w:rsid w:val="00553723"/>
    <w:rsid w:val="005629AD"/>
    <w:rsid w:val="00562E2A"/>
    <w:rsid w:val="00574A8E"/>
    <w:rsid w:val="00593FDE"/>
    <w:rsid w:val="005B7696"/>
    <w:rsid w:val="006122EE"/>
    <w:rsid w:val="00632DE3"/>
    <w:rsid w:val="00635D91"/>
    <w:rsid w:val="0064558B"/>
    <w:rsid w:val="00656537"/>
    <w:rsid w:val="00686737"/>
    <w:rsid w:val="00692A78"/>
    <w:rsid w:val="006932F1"/>
    <w:rsid w:val="00697B30"/>
    <w:rsid w:val="006A796D"/>
    <w:rsid w:val="006D04C6"/>
    <w:rsid w:val="006F0CF5"/>
    <w:rsid w:val="00700525"/>
    <w:rsid w:val="00700F09"/>
    <w:rsid w:val="00705434"/>
    <w:rsid w:val="00723585"/>
    <w:rsid w:val="00751EC4"/>
    <w:rsid w:val="00771372"/>
    <w:rsid w:val="00791F70"/>
    <w:rsid w:val="00793EFB"/>
    <w:rsid w:val="007C2529"/>
    <w:rsid w:val="007D4239"/>
    <w:rsid w:val="00804CDB"/>
    <w:rsid w:val="00825360"/>
    <w:rsid w:val="00831203"/>
    <w:rsid w:val="008433CC"/>
    <w:rsid w:val="008554C8"/>
    <w:rsid w:val="00862274"/>
    <w:rsid w:val="00880ECC"/>
    <w:rsid w:val="008A66E7"/>
    <w:rsid w:val="008D7375"/>
    <w:rsid w:val="008F1CF5"/>
    <w:rsid w:val="00912199"/>
    <w:rsid w:val="00940DF8"/>
    <w:rsid w:val="0094463E"/>
    <w:rsid w:val="00970E9D"/>
    <w:rsid w:val="009772ED"/>
    <w:rsid w:val="00986AED"/>
    <w:rsid w:val="0099198B"/>
    <w:rsid w:val="009A28DA"/>
    <w:rsid w:val="009A6487"/>
    <w:rsid w:val="009C131F"/>
    <w:rsid w:val="009D4512"/>
    <w:rsid w:val="00A07722"/>
    <w:rsid w:val="00A12392"/>
    <w:rsid w:val="00A52854"/>
    <w:rsid w:val="00A52C29"/>
    <w:rsid w:val="00A751E0"/>
    <w:rsid w:val="00AA3121"/>
    <w:rsid w:val="00AA6F75"/>
    <w:rsid w:val="00AF385F"/>
    <w:rsid w:val="00AF5849"/>
    <w:rsid w:val="00B03D8D"/>
    <w:rsid w:val="00B07369"/>
    <w:rsid w:val="00B206A4"/>
    <w:rsid w:val="00B505DC"/>
    <w:rsid w:val="00B54BD0"/>
    <w:rsid w:val="00B56762"/>
    <w:rsid w:val="00B873CE"/>
    <w:rsid w:val="00B92B3D"/>
    <w:rsid w:val="00B92BE7"/>
    <w:rsid w:val="00BC273B"/>
    <w:rsid w:val="00BC2F0A"/>
    <w:rsid w:val="00BD41C0"/>
    <w:rsid w:val="00BF5663"/>
    <w:rsid w:val="00C13FB4"/>
    <w:rsid w:val="00C16213"/>
    <w:rsid w:val="00C7391D"/>
    <w:rsid w:val="00C923C1"/>
    <w:rsid w:val="00D0023A"/>
    <w:rsid w:val="00D13A27"/>
    <w:rsid w:val="00D1647B"/>
    <w:rsid w:val="00D23B8C"/>
    <w:rsid w:val="00D766F3"/>
    <w:rsid w:val="00D95FEB"/>
    <w:rsid w:val="00DA07D9"/>
    <w:rsid w:val="00DA4DA0"/>
    <w:rsid w:val="00DB0F17"/>
    <w:rsid w:val="00DC3FF0"/>
    <w:rsid w:val="00DD4FBC"/>
    <w:rsid w:val="00DE4D2D"/>
    <w:rsid w:val="00E14872"/>
    <w:rsid w:val="00E66699"/>
    <w:rsid w:val="00E74E50"/>
    <w:rsid w:val="00E90FE9"/>
    <w:rsid w:val="00ED2FC9"/>
    <w:rsid w:val="00EE5875"/>
    <w:rsid w:val="00EE6333"/>
    <w:rsid w:val="00EF0354"/>
    <w:rsid w:val="00EF3A62"/>
    <w:rsid w:val="00F00B75"/>
    <w:rsid w:val="00F369A0"/>
    <w:rsid w:val="00F41EDC"/>
    <w:rsid w:val="00F64257"/>
    <w:rsid w:val="00F6708C"/>
    <w:rsid w:val="00F7186D"/>
    <w:rsid w:val="00F729D6"/>
    <w:rsid w:val="00F806EE"/>
    <w:rsid w:val="00F82161"/>
    <w:rsid w:val="00F85903"/>
    <w:rsid w:val="00F911BE"/>
    <w:rsid w:val="00FA556A"/>
    <w:rsid w:val="00FB569C"/>
    <w:rsid w:val="00FD4840"/>
    <w:rsid w:val="00FE0D59"/>
    <w:rsid w:val="00FE2036"/>
    <w:rsid w:val="00FE3D83"/>
    <w:rsid w:val="00FE64A3"/>
    <w:rsid w:val="00FF2BB3"/>
    <w:rsid w:val="00FF74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86D"/>
    <w:pPr>
      <w:spacing w:after="200" w:line="276" w:lineRule="auto"/>
    </w:pPr>
    <w:rPr>
      <w:lang w:eastAsia="en-US"/>
    </w:rPr>
  </w:style>
  <w:style w:type="paragraph" w:styleId="Ttulo1">
    <w:name w:val="heading 1"/>
    <w:basedOn w:val="Normal"/>
    <w:next w:val="Normal"/>
    <w:link w:val="Ttulo1Char"/>
    <w:uiPriority w:val="99"/>
    <w:qFormat/>
    <w:rsid w:val="00BC2F0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9"/>
    <w:qFormat/>
    <w:rsid w:val="00BC2F0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9"/>
    <w:qFormat/>
    <w:rsid w:val="00BC2F0A"/>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C2F0A"/>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BC2F0A"/>
    <w:rPr>
      <w:rFonts w:ascii="Cambria" w:hAnsi="Cambria" w:cs="Times New Roman"/>
      <w:b/>
      <w:bCs/>
      <w:color w:val="4F81BD"/>
      <w:sz w:val="26"/>
      <w:szCs w:val="26"/>
    </w:rPr>
  </w:style>
  <w:style w:type="character" w:customStyle="1" w:styleId="Ttulo3Char">
    <w:name w:val="Título 3 Char"/>
    <w:basedOn w:val="Fontepargpadro"/>
    <w:link w:val="Ttulo3"/>
    <w:uiPriority w:val="99"/>
    <w:locked/>
    <w:rsid w:val="00BC2F0A"/>
    <w:rPr>
      <w:rFonts w:ascii="Cambria" w:hAnsi="Cambria" w:cs="Times New Roman"/>
      <w:b/>
      <w:bCs/>
      <w:color w:val="4F81BD"/>
    </w:rPr>
  </w:style>
  <w:style w:type="paragraph" w:styleId="Commarcadores">
    <w:name w:val="List Bullet"/>
    <w:basedOn w:val="Normal"/>
    <w:uiPriority w:val="99"/>
    <w:rsid w:val="006A796D"/>
    <w:pPr>
      <w:tabs>
        <w:tab w:val="num" w:pos="360"/>
      </w:tabs>
      <w:ind w:left="360" w:hanging="360"/>
      <w:contextualSpacing/>
    </w:pPr>
  </w:style>
  <w:style w:type="paragraph" w:customStyle="1" w:styleId="Body1">
    <w:name w:val="Body 1"/>
    <w:uiPriority w:val="99"/>
    <w:rsid w:val="00FE2036"/>
    <w:rPr>
      <w:rFonts w:ascii="Helvetica" w:eastAsia="Arial Unicode MS" w:hAnsi="Helvetica"/>
      <w:color w:val="000000"/>
      <w:sz w:val="24"/>
      <w:szCs w:val="20"/>
    </w:rPr>
  </w:style>
  <w:style w:type="paragraph" w:styleId="Textodebalo">
    <w:name w:val="Balloon Text"/>
    <w:basedOn w:val="Normal"/>
    <w:link w:val="TextodebaloChar"/>
    <w:uiPriority w:val="99"/>
    <w:semiHidden/>
    <w:rsid w:val="00FE20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2036"/>
    <w:rPr>
      <w:rFonts w:ascii="Tahoma" w:eastAsia="Times New Roman" w:hAnsi="Tahoma" w:cs="Tahoma"/>
      <w:sz w:val="16"/>
      <w:szCs w:val="16"/>
    </w:rPr>
  </w:style>
  <w:style w:type="paragraph" w:styleId="PargrafodaLista">
    <w:name w:val="List Paragraph"/>
    <w:basedOn w:val="Normal"/>
    <w:uiPriority w:val="99"/>
    <w:qFormat/>
    <w:rsid w:val="00FE2036"/>
    <w:pPr>
      <w:ind w:left="720"/>
      <w:contextualSpacing/>
    </w:pPr>
  </w:style>
  <w:style w:type="character" w:customStyle="1" w:styleId="hps">
    <w:name w:val="hps"/>
    <w:basedOn w:val="Fontepargpadro"/>
    <w:uiPriority w:val="99"/>
    <w:rsid w:val="008A66E7"/>
    <w:rPr>
      <w:rFonts w:cs="Times New Roman"/>
    </w:rPr>
  </w:style>
  <w:style w:type="character" w:customStyle="1" w:styleId="apple-converted-space">
    <w:name w:val="apple-converted-space"/>
    <w:basedOn w:val="Fontepargpadro"/>
    <w:uiPriority w:val="99"/>
    <w:rsid w:val="00BC2F0A"/>
    <w:rPr>
      <w:rFonts w:cs="Times New Roman"/>
    </w:rPr>
  </w:style>
  <w:style w:type="character" w:styleId="Hyperlink">
    <w:name w:val="Hyperlink"/>
    <w:basedOn w:val="Fontepargpadro"/>
    <w:uiPriority w:val="99"/>
    <w:rsid w:val="00BC2F0A"/>
    <w:rPr>
      <w:rFonts w:cs="Times New Roman"/>
      <w:color w:val="0000FF"/>
      <w:u w:val="single"/>
    </w:rPr>
  </w:style>
  <w:style w:type="paragraph" w:styleId="Cabealho">
    <w:name w:val="header"/>
    <w:basedOn w:val="Normal"/>
    <w:link w:val="CabealhoChar"/>
    <w:uiPriority w:val="99"/>
    <w:semiHidden/>
    <w:rsid w:val="00F8590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F85903"/>
    <w:rPr>
      <w:rFonts w:cs="Times New Roman"/>
    </w:rPr>
  </w:style>
  <w:style w:type="paragraph" w:styleId="Rodap">
    <w:name w:val="footer"/>
    <w:basedOn w:val="Normal"/>
    <w:link w:val="RodapChar"/>
    <w:uiPriority w:val="99"/>
    <w:semiHidden/>
    <w:rsid w:val="00F85903"/>
    <w:pPr>
      <w:tabs>
        <w:tab w:val="center" w:pos="4252"/>
        <w:tab w:val="right" w:pos="8504"/>
      </w:tabs>
      <w:spacing w:after="0" w:line="240" w:lineRule="auto"/>
    </w:pPr>
  </w:style>
  <w:style w:type="character" w:customStyle="1" w:styleId="RodapChar">
    <w:name w:val="Rodapé Char"/>
    <w:basedOn w:val="Fontepargpadro"/>
    <w:link w:val="Rodap"/>
    <w:uiPriority w:val="99"/>
    <w:semiHidden/>
    <w:locked/>
    <w:rsid w:val="00F85903"/>
    <w:rPr>
      <w:rFonts w:cs="Times New Roman"/>
    </w:rPr>
  </w:style>
  <w:style w:type="paragraph" w:styleId="NormalWeb">
    <w:name w:val="Normal (Web)"/>
    <w:basedOn w:val="Normal"/>
    <w:uiPriority w:val="99"/>
    <w:semiHidden/>
    <w:rsid w:val="004D1530"/>
    <w:pPr>
      <w:spacing w:before="100" w:beforeAutospacing="1" w:after="100" w:afterAutospacing="1" w:line="240" w:lineRule="auto"/>
    </w:pPr>
    <w:rPr>
      <w:rFonts w:ascii="Times New Roman" w:eastAsia="Times New Roman" w:hAnsi="Times New Roman"/>
      <w:sz w:val="23"/>
      <w:szCs w:val="23"/>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59578">
      <w:marLeft w:val="0"/>
      <w:marRight w:val="0"/>
      <w:marTop w:val="0"/>
      <w:marBottom w:val="0"/>
      <w:divBdr>
        <w:top w:val="none" w:sz="0" w:space="0" w:color="auto"/>
        <w:left w:val="none" w:sz="0" w:space="0" w:color="auto"/>
        <w:bottom w:val="none" w:sz="0" w:space="0" w:color="auto"/>
        <w:right w:val="none" w:sz="0" w:space="0" w:color="auto"/>
      </w:divBdr>
    </w:div>
    <w:div w:id="2085059580">
      <w:marLeft w:val="0"/>
      <w:marRight w:val="0"/>
      <w:marTop w:val="0"/>
      <w:marBottom w:val="0"/>
      <w:divBdr>
        <w:top w:val="none" w:sz="0" w:space="0" w:color="auto"/>
        <w:left w:val="none" w:sz="0" w:space="0" w:color="auto"/>
        <w:bottom w:val="none" w:sz="0" w:space="0" w:color="auto"/>
        <w:right w:val="none" w:sz="0" w:space="0" w:color="auto"/>
      </w:divBdr>
      <w:divsChild>
        <w:div w:id="2085059579">
          <w:marLeft w:val="0"/>
          <w:marRight w:val="0"/>
          <w:marTop w:val="0"/>
          <w:marBottom w:val="0"/>
          <w:divBdr>
            <w:top w:val="none" w:sz="0" w:space="0" w:color="auto"/>
            <w:left w:val="none" w:sz="0" w:space="0" w:color="auto"/>
            <w:bottom w:val="none" w:sz="0" w:space="0" w:color="auto"/>
            <w:right w:val="none" w:sz="0" w:space="0" w:color="auto"/>
          </w:divBdr>
          <w:divsChild>
            <w:div w:id="2085059576">
              <w:marLeft w:val="0"/>
              <w:marRight w:val="0"/>
              <w:marTop w:val="0"/>
              <w:marBottom w:val="0"/>
              <w:divBdr>
                <w:top w:val="none" w:sz="0" w:space="0" w:color="auto"/>
                <w:left w:val="none" w:sz="0" w:space="0" w:color="auto"/>
                <w:bottom w:val="single" w:sz="6" w:space="0" w:color="8D8D8D"/>
                <w:right w:val="none" w:sz="0" w:space="0" w:color="auto"/>
              </w:divBdr>
              <w:divsChild>
                <w:div w:id="20850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59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cbi.nlm.nih.gov/pubmed/20513773" TargetMode="External"/><Relationship Id="rId4" Type="http://schemas.openxmlformats.org/officeDocument/2006/relationships/settings" Target="settings.xml"/><Relationship Id="rId9" Type="http://schemas.openxmlformats.org/officeDocument/2006/relationships/hyperlink" Target="http://www.ncbi.nlm.nih.gov/pubmed/?term=Ajiro%20J%5BAuthor%5D&amp;cauthor=true&amp;cauthor_uid=1769947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TCC\CAtuarial2b.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682852143484172E-2"/>
          <c:y val="6.5289442986293383E-2"/>
          <c:w val="0.5986782589676285"/>
          <c:h val="0.79822506561679785"/>
        </c:manualLayout>
      </c:layout>
      <c:lineChart>
        <c:grouping val="standard"/>
        <c:varyColors val="0"/>
        <c:ser>
          <c:idx val="0"/>
          <c:order val="0"/>
          <c:tx>
            <c:strRef>
              <c:f>Plan1!$I$64</c:f>
              <c:strCache>
                <c:ptCount val="1"/>
                <c:pt idx="0">
                  <c:v>Probabilidade Acumulada de Sobrevida (%)</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Plan1!$I$65:$I$78</c:f>
              <c:numCache>
                <c:formatCode>General</c:formatCode>
                <c:ptCount val="14"/>
                <c:pt idx="0">
                  <c:v>100</c:v>
                </c:pt>
                <c:pt idx="1">
                  <c:v>94</c:v>
                </c:pt>
                <c:pt idx="2">
                  <c:v>85</c:v>
                </c:pt>
                <c:pt idx="3">
                  <c:v>82</c:v>
                </c:pt>
                <c:pt idx="4">
                  <c:v>77</c:v>
                </c:pt>
                <c:pt idx="5">
                  <c:v>72</c:v>
                </c:pt>
                <c:pt idx="6">
                  <c:v>68</c:v>
                </c:pt>
                <c:pt idx="7">
                  <c:v>67</c:v>
                </c:pt>
                <c:pt idx="8">
                  <c:v>61</c:v>
                </c:pt>
                <c:pt idx="9">
                  <c:v>60</c:v>
                </c:pt>
                <c:pt idx="10">
                  <c:v>54</c:v>
                </c:pt>
                <c:pt idx="11">
                  <c:v>49</c:v>
                </c:pt>
                <c:pt idx="12">
                  <c:v>49</c:v>
                </c:pt>
                <c:pt idx="13">
                  <c:v>49</c:v>
                </c:pt>
              </c:numCache>
            </c:numRef>
          </c:val>
          <c:smooth val="0"/>
        </c:ser>
        <c:ser>
          <c:idx val="1"/>
          <c:order val="1"/>
          <c:tx>
            <c:strRef>
              <c:f>Plan1!$J$64</c:f>
              <c:strCache>
                <c:ptCount val="1"/>
                <c:pt idx="0">
                  <c:v>Limite Inferior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Plan1!$J$65:$J$78</c:f>
              <c:numCache>
                <c:formatCode>General</c:formatCode>
                <c:ptCount val="14"/>
                <c:pt idx="0">
                  <c:v>100</c:v>
                </c:pt>
                <c:pt idx="1">
                  <c:v>91</c:v>
                </c:pt>
                <c:pt idx="2">
                  <c:v>79</c:v>
                </c:pt>
                <c:pt idx="3">
                  <c:v>76</c:v>
                </c:pt>
                <c:pt idx="4">
                  <c:v>71</c:v>
                </c:pt>
                <c:pt idx="5">
                  <c:v>66</c:v>
                </c:pt>
                <c:pt idx="6">
                  <c:v>60</c:v>
                </c:pt>
                <c:pt idx="7">
                  <c:v>59</c:v>
                </c:pt>
                <c:pt idx="8">
                  <c:v>53</c:v>
                </c:pt>
                <c:pt idx="9">
                  <c:v>51</c:v>
                </c:pt>
                <c:pt idx="10">
                  <c:v>44</c:v>
                </c:pt>
                <c:pt idx="11">
                  <c:v>38</c:v>
                </c:pt>
                <c:pt idx="12">
                  <c:v>38</c:v>
                </c:pt>
                <c:pt idx="13">
                  <c:v>38</c:v>
                </c:pt>
              </c:numCache>
            </c:numRef>
          </c:val>
          <c:smooth val="0"/>
        </c:ser>
        <c:ser>
          <c:idx val="2"/>
          <c:order val="2"/>
          <c:tx>
            <c:strRef>
              <c:f>Plan1!$K$64</c:f>
              <c:strCache>
                <c:ptCount val="1"/>
                <c:pt idx="0">
                  <c:v>Limite Superior</c:v>
                </c:pt>
              </c:strCache>
            </c:strRef>
          </c:tx>
          <c:marker>
            <c:symbol val="none"/>
          </c:marker>
          <c:cat>
            <c:strRef>
              <c:f>Plan1!$H$65:$H$78</c:f>
              <c:strCache>
                <c:ptCount val="14"/>
                <c:pt idx="0">
                  <c:v>0</c:v>
                </c:pt>
                <c:pt idx="1">
                  <c:v>1</c:v>
                </c:pt>
                <c:pt idx="2">
                  <c:v>2</c:v>
                </c:pt>
                <c:pt idx="3">
                  <c:v>3</c:v>
                </c:pt>
                <c:pt idx="4">
                  <c:v>4</c:v>
                </c:pt>
                <c:pt idx="5">
                  <c:v>5</c:v>
                </c:pt>
                <c:pt idx="6">
                  <c:v>6</c:v>
                </c:pt>
                <c:pt idx="7">
                  <c:v>7</c:v>
                </c:pt>
                <c:pt idx="8">
                  <c:v>8</c:v>
                </c:pt>
                <c:pt idx="9">
                  <c:v>9</c:v>
                </c:pt>
                <c:pt idx="10">
                  <c:v>10</c:v>
                </c:pt>
                <c:pt idx="11">
                  <c:v>11</c:v>
                </c:pt>
                <c:pt idx="12">
                  <c:v>12</c:v>
                </c:pt>
                <c:pt idx="13">
                  <c:v>13</c:v>
                </c:pt>
              </c:strCache>
            </c:strRef>
          </c:cat>
          <c:val>
            <c:numRef>
              <c:f>Plan1!$K$65:$K$78</c:f>
              <c:numCache>
                <c:formatCode>General</c:formatCode>
                <c:ptCount val="14"/>
                <c:pt idx="0">
                  <c:v>100</c:v>
                </c:pt>
                <c:pt idx="1">
                  <c:v>97</c:v>
                </c:pt>
                <c:pt idx="2">
                  <c:v>90</c:v>
                </c:pt>
                <c:pt idx="3">
                  <c:v>87</c:v>
                </c:pt>
                <c:pt idx="4">
                  <c:v>83</c:v>
                </c:pt>
                <c:pt idx="5">
                  <c:v>79</c:v>
                </c:pt>
                <c:pt idx="6">
                  <c:v>75</c:v>
                </c:pt>
                <c:pt idx="7">
                  <c:v>74</c:v>
                </c:pt>
                <c:pt idx="8">
                  <c:v>69</c:v>
                </c:pt>
                <c:pt idx="9">
                  <c:v>68</c:v>
                </c:pt>
                <c:pt idx="10">
                  <c:v>64</c:v>
                </c:pt>
                <c:pt idx="11">
                  <c:v>60</c:v>
                </c:pt>
                <c:pt idx="12">
                  <c:v>60</c:v>
                </c:pt>
                <c:pt idx="13">
                  <c:v>60</c:v>
                </c:pt>
              </c:numCache>
            </c:numRef>
          </c:val>
          <c:smooth val="0"/>
        </c:ser>
        <c:dLbls>
          <c:showLegendKey val="0"/>
          <c:showVal val="0"/>
          <c:showCatName val="0"/>
          <c:showSerName val="0"/>
          <c:showPercent val="0"/>
          <c:showBubbleSize val="0"/>
        </c:dLbls>
        <c:marker val="1"/>
        <c:smooth val="0"/>
        <c:axId val="109506944"/>
        <c:axId val="109508480"/>
      </c:lineChart>
      <c:catAx>
        <c:axId val="109506944"/>
        <c:scaling>
          <c:orientation val="minMax"/>
        </c:scaling>
        <c:delete val="0"/>
        <c:axPos val="b"/>
        <c:numFmt formatCode="General" sourceLinked="1"/>
        <c:majorTickMark val="out"/>
        <c:minorTickMark val="none"/>
        <c:tickLblPos val="nextTo"/>
        <c:txPr>
          <a:bodyPr/>
          <a:lstStyle/>
          <a:p>
            <a:pPr>
              <a:defRPr baseline="0">
                <a:latin typeface="Times New Roman" pitchFamily="18" charset="0"/>
              </a:defRPr>
            </a:pPr>
            <a:endParaRPr lang="pt-BR"/>
          </a:p>
        </c:txPr>
        <c:crossAx val="109508480"/>
        <c:crosses val="autoZero"/>
        <c:auto val="1"/>
        <c:lblAlgn val="ctr"/>
        <c:lblOffset val="100"/>
        <c:noMultiLvlLbl val="0"/>
      </c:catAx>
      <c:valAx>
        <c:axId val="109508480"/>
        <c:scaling>
          <c:orientation val="minMax"/>
          <c:max val="100"/>
        </c:scaling>
        <c:delete val="0"/>
        <c:axPos val="l"/>
        <c:numFmt formatCode="General" sourceLinked="1"/>
        <c:majorTickMark val="out"/>
        <c:minorTickMark val="none"/>
        <c:tickLblPos val="nextTo"/>
        <c:txPr>
          <a:bodyPr/>
          <a:lstStyle/>
          <a:p>
            <a:pPr>
              <a:defRPr baseline="0">
                <a:latin typeface="Times New Roman" pitchFamily="18" charset="0"/>
              </a:defRPr>
            </a:pPr>
            <a:endParaRPr lang="pt-BR"/>
          </a:p>
        </c:txPr>
        <c:crossAx val="109506944"/>
        <c:crosses val="autoZero"/>
        <c:crossBetween val="between"/>
      </c:valAx>
    </c:plotArea>
    <c:legend>
      <c:legendPos val="r"/>
      <c:overlay val="0"/>
      <c:txPr>
        <a:bodyPr/>
        <a:lstStyle/>
        <a:p>
          <a:pPr>
            <a:defRPr baseline="0">
              <a:latin typeface="Times New Roman"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5714</Words>
  <Characters>30857</Characters>
  <Application>Microsoft Office Word</Application>
  <DocSecurity>0</DocSecurity>
  <Lines>257</Lines>
  <Paragraphs>72</Paragraphs>
  <ScaleCrop>false</ScaleCrop>
  <Company>Toshiba</Company>
  <LinksUpToDate>false</LinksUpToDate>
  <CharactersWithSpaces>36499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Sobrevida e fatores de risco de mortalidade em pacientes sob hemodiálise</dc:title>
  <dc:creator>ALUNO16</dc:creator>
  <cp:lastModifiedBy>INFOMARQUES</cp:lastModifiedBy>
  <cp:revision>3</cp:revision>
  <cp:lastPrinted>2015-01-22T20:57:00Z</cp:lastPrinted>
  <dcterms:created xsi:type="dcterms:W3CDTF">2015-11-09T23:39:00Z</dcterms:created>
  <dcterms:modified xsi:type="dcterms:W3CDTF">2015-11-10T00:17:00Z</dcterms:modified>
</cp:coreProperties>
</file>