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D6" w:rsidRDefault="00070CD6" w:rsidP="00070C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5D">
        <w:rPr>
          <w:rFonts w:ascii="Times New Roman" w:hAnsi="Times New Roman" w:cs="Times New Roman"/>
          <w:b/>
          <w:sz w:val="24"/>
          <w:szCs w:val="24"/>
        </w:rPr>
        <w:t>Tabela</w:t>
      </w:r>
      <w:r>
        <w:rPr>
          <w:rFonts w:ascii="Times New Roman" w:hAnsi="Times New Roman" w:cs="Times New Roman"/>
          <w:sz w:val="24"/>
          <w:szCs w:val="24"/>
        </w:rPr>
        <w:t xml:space="preserve"> 1 - P</w:t>
      </w:r>
      <w:r w:rsidRPr="0080015D">
        <w:rPr>
          <w:rFonts w:ascii="Times New Roman" w:hAnsi="Times New Roman" w:cs="Times New Roman"/>
          <w:sz w:val="24"/>
          <w:szCs w:val="24"/>
        </w:rPr>
        <w:t>erfil antropométrico e composição corporal dos árbitros de futebol das regiões</w:t>
      </w:r>
      <w:r>
        <w:rPr>
          <w:rFonts w:ascii="Times New Roman" w:hAnsi="Times New Roman" w:cs="Times New Roman"/>
          <w:sz w:val="24"/>
          <w:szCs w:val="24"/>
        </w:rPr>
        <w:t xml:space="preserve"> Nordeste e Sul do Brasil.</w:t>
      </w:r>
    </w:p>
    <w:tbl>
      <w:tblPr>
        <w:tblW w:w="9070" w:type="dxa"/>
        <w:jc w:val="center"/>
        <w:tblBorders>
          <w:top w:val="single" w:sz="8" w:space="0" w:color="00000A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14"/>
        <w:gridCol w:w="1880"/>
        <w:gridCol w:w="2393"/>
        <w:gridCol w:w="1883"/>
      </w:tblGrid>
      <w:tr w:rsidR="00070CD6" w:rsidTr="00400C8E">
        <w:trPr>
          <w:jc w:val="center"/>
        </w:trPr>
        <w:tc>
          <w:tcPr>
            <w:tcW w:w="2913" w:type="dxa"/>
            <w:vMerge w:val="restart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Variáveis</w:t>
            </w:r>
          </w:p>
        </w:tc>
        <w:tc>
          <w:tcPr>
            <w:tcW w:w="1880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(n=35)</w:t>
            </w:r>
          </w:p>
        </w:tc>
        <w:tc>
          <w:tcPr>
            <w:tcW w:w="2393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Nordeste (n=18)</w:t>
            </w:r>
          </w:p>
        </w:tc>
        <w:tc>
          <w:tcPr>
            <w:tcW w:w="1883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Sul (n=17)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vMerge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Média ± DP</w:t>
            </w:r>
          </w:p>
        </w:tc>
        <w:tc>
          <w:tcPr>
            <w:tcW w:w="2393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Média ± DP</w:t>
            </w:r>
          </w:p>
        </w:tc>
        <w:tc>
          <w:tcPr>
            <w:tcW w:w="1883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Média ± DP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 (anos)</w:t>
            </w:r>
          </w:p>
        </w:tc>
        <w:tc>
          <w:tcPr>
            <w:tcW w:w="1880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 ± 5,5</w:t>
            </w:r>
          </w:p>
        </w:tc>
        <w:tc>
          <w:tcPr>
            <w:tcW w:w="239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 ± 5,1</w:t>
            </w:r>
          </w:p>
        </w:tc>
        <w:tc>
          <w:tcPr>
            <w:tcW w:w="188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 ± 5,8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Massa Corporal (kg)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 ± 7,7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 ± 8,8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 ± 6,7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Estatura (m)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 ± 0,05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 ± 0,06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 ± 0,06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IMC (kg/m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 ± 2,1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± 3,0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 ± 1,9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Gordura corporal (%)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 ± 3,2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 ± 2,1*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 ± 3,1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(kg)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 ± 2,7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 ± 2,4*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 ± 2,3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(kg)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 ± 1,9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 ± 2,1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 ± 1,6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(kg)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 ± 1,1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 ± 1,7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 ± 1,3</w:t>
            </w:r>
          </w:p>
        </w:tc>
      </w:tr>
      <w:tr w:rsidR="00070CD6" w:rsidTr="00400C8E">
        <w:trPr>
          <w:jc w:val="center"/>
        </w:trPr>
        <w:tc>
          <w:tcPr>
            <w:tcW w:w="2913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 (kg)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</w:tcPr>
          <w:p w:rsidR="00070CD6" w:rsidRDefault="00070CD6" w:rsidP="0040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 ± 4,1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 ± 4,0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 ± 4,2</w:t>
            </w:r>
          </w:p>
        </w:tc>
      </w:tr>
    </w:tbl>
    <w:p w:rsidR="00070CD6" w:rsidRDefault="00070CD6" w:rsidP="00070CD6">
      <w:pPr>
        <w:widowControl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Fonte – Os autores (2013). * = diferença significativa 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0.01 de acordo com as normas deve ser colocado o valor; teste t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amostras independentes). </w:t>
      </w:r>
      <w:r>
        <w:rPr>
          <w:rFonts w:ascii="Times New Roman" w:hAnsi="Times New Roman" w:cs="Times New Roman"/>
          <w:sz w:val="24"/>
          <w:szCs w:val="24"/>
          <w:lang w:val="it-IT"/>
        </w:rPr>
        <w:t>IMC = índice de massa corporal; MG = massa gorda; MR = massa residual; MO = massa óssea; MM = massa magra; DP = desvio padrão.</w:t>
      </w:r>
    </w:p>
    <w:p w:rsidR="009952A4" w:rsidRDefault="009952A4"/>
    <w:p w:rsidR="00070CD6" w:rsidRDefault="00070CD6"/>
    <w:p w:rsidR="00070CD6" w:rsidRDefault="00070CD6"/>
    <w:p w:rsidR="00070CD6" w:rsidRDefault="00070CD6"/>
    <w:p w:rsidR="00070CD6" w:rsidRDefault="00070CD6"/>
    <w:p w:rsidR="00070CD6" w:rsidRDefault="00070CD6"/>
    <w:p w:rsidR="00070CD6" w:rsidRDefault="00070CD6" w:rsidP="00070C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015D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sz w:val="24"/>
          <w:szCs w:val="24"/>
        </w:rPr>
        <w:t>1 - Prevalência de excesso de peso (A) e gordura corporal (B) dos árbitros de futebol das regiões Nordeste e Sul do Brasil. * = diferença significativa 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0,01 – teste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>-quadrado).</w:t>
      </w:r>
    </w:p>
    <w:p w:rsidR="00070CD6" w:rsidRDefault="00070CD6" w:rsidP="00070C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0CD6" w:rsidRDefault="00070CD6" w:rsidP="00070CD6">
      <w:pPr>
        <w:spacing w:line="480" w:lineRule="auto"/>
      </w:pPr>
      <w:r>
        <w:rPr>
          <w:noProof/>
          <w:lang w:eastAsia="pt-BR"/>
        </w:rPr>
        <w:drawing>
          <wp:inline distT="0" distB="0" distL="0" distR="0" wp14:anchorId="24BFBF57" wp14:editId="6B1C4099">
            <wp:extent cx="3447415" cy="4324350"/>
            <wp:effectExtent l="0" t="0" r="0" b="0"/>
            <wp:docPr id="2" name="Picture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F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CD6" w:rsidRDefault="00070CD6" w:rsidP="00070CD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 – Os autores (2013)</w:t>
      </w:r>
    </w:p>
    <w:p w:rsidR="00070CD6" w:rsidRDefault="00070CD6"/>
    <w:p w:rsidR="00070CD6" w:rsidRDefault="00070CD6"/>
    <w:p w:rsidR="00070CD6" w:rsidRDefault="00070CD6"/>
    <w:p w:rsidR="00070CD6" w:rsidRDefault="00070CD6"/>
    <w:p w:rsidR="00070CD6" w:rsidRDefault="00070CD6"/>
    <w:p w:rsidR="00070CD6" w:rsidRDefault="00070CD6"/>
    <w:p w:rsidR="00070CD6" w:rsidRDefault="00070CD6"/>
    <w:p w:rsidR="00070CD6" w:rsidRDefault="00070CD6" w:rsidP="00070C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</w:t>
      </w:r>
      <w:r w:rsidRPr="008001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Componentes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somatotipológicos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árbitros de futebol das regiões Nordeste e Sul do Brasil.</w:t>
      </w:r>
    </w:p>
    <w:tbl>
      <w:tblPr>
        <w:tblW w:w="9070" w:type="dxa"/>
        <w:jc w:val="center"/>
        <w:tblBorders>
          <w:top w:val="single" w:sz="8" w:space="0" w:color="00000A"/>
          <w:left w:val="nil"/>
          <w:bottom w:val="single" w:sz="8" w:space="0" w:color="00000A"/>
          <w:right w:val="nil"/>
          <w:insideH w:val="single" w:sz="8" w:space="0" w:color="00000A"/>
          <w:insideV w:val="nil"/>
        </w:tblBorders>
        <w:tblLook w:val="04A0" w:firstRow="1" w:lastRow="0" w:firstColumn="1" w:lastColumn="0" w:noHBand="0" w:noVBand="1"/>
      </w:tblPr>
      <w:tblGrid>
        <w:gridCol w:w="1372"/>
        <w:gridCol w:w="1653"/>
        <w:gridCol w:w="3323"/>
        <w:gridCol w:w="2722"/>
      </w:tblGrid>
      <w:tr w:rsidR="00070CD6" w:rsidTr="00400C8E">
        <w:trPr>
          <w:jc w:val="center"/>
        </w:trPr>
        <w:tc>
          <w:tcPr>
            <w:tcW w:w="1371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Variáveis</w:t>
            </w:r>
          </w:p>
        </w:tc>
        <w:tc>
          <w:tcPr>
            <w:tcW w:w="1653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(n=35)</w:t>
            </w:r>
          </w:p>
        </w:tc>
        <w:tc>
          <w:tcPr>
            <w:tcW w:w="3323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Árbitros do Nordeste (n=18)</w:t>
            </w:r>
          </w:p>
        </w:tc>
        <w:tc>
          <w:tcPr>
            <w:tcW w:w="2722" w:type="dxa"/>
            <w:tcBorders>
              <w:top w:val="single" w:sz="8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Árbitros do Sul (n=17)</w:t>
            </w:r>
          </w:p>
        </w:tc>
      </w:tr>
      <w:tr w:rsidR="00070CD6" w:rsidTr="00400C8E">
        <w:trPr>
          <w:jc w:val="center"/>
        </w:trPr>
        <w:tc>
          <w:tcPr>
            <w:tcW w:w="1371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Endomorfo</w:t>
            </w:r>
            <w:proofErr w:type="spellEnd"/>
          </w:p>
        </w:tc>
        <w:tc>
          <w:tcPr>
            <w:tcW w:w="165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 ± 1,1</w:t>
            </w:r>
          </w:p>
        </w:tc>
        <w:tc>
          <w:tcPr>
            <w:tcW w:w="3323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± 0,6*</w:t>
            </w:r>
          </w:p>
        </w:tc>
        <w:tc>
          <w:tcPr>
            <w:tcW w:w="2722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 ± 1,0</w:t>
            </w:r>
          </w:p>
        </w:tc>
      </w:tr>
      <w:tr w:rsidR="00070CD6" w:rsidTr="00400C8E"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Mesomorfo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 ± 1,3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 ± 1,3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± 1,4</w:t>
            </w:r>
          </w:p>
        </w:tc>
      </w:tr>
      <w:tr w:rsidR="00070CD6" w:rsidTr="00400C8E">
        <w:trPr>
          <w:jc w:val="center"/>
        </w:trPr>
        <w:tc>
          <w:tcPr>
            <w:tcW w:w="137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070CD6" w:rsidRDefault="00070CD6" w:rsidP="0040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Ectomorfo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± 1,0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 ± 1,0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070CD6" w:rsidRDefault="00070CD6" w:rsidP="00400C8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 ± 0,9</w:t>
            </w:r>
          </w:p>
        </w:tc>
      </w:tr>
    </w:tbl>
    <w:p w:rsidR="00070CD6" w:rsidRDefault="00070CD6" w:rsidP="00070C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 – Os autores (2013) * = diferença significativa 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0,01 – teste t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amostras independentes).</w:t>
      </w:r>
    </w:p>
    <w:p w:rsidR="00070CD6" w:rsidRDefault="00070CD6"/>
    <w:p w:rsidR="00070CD6" w:rsidRDefault="00070CD6"/>
    <w:p w:rsidR="00070CD6" w:rsidRDefault="00070CD6"/>
    <w:p w:rsidR="00070CD6" w:rsidRDefault="00070CD6" w:rsidP="00070C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5D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sz w:val="24"/>
          <w:szCs w:val="24"/>
        </w:rPr>
        <w:t xml:space="preserve">2 - </w:t>
      </w:r>
      <w:proofErr w:type="spellStart"/>
      <w:r>
        <w:rPr>
          <w:rFonts w:ascii="Times New Roman" w:hAnsi="Times New Roman" w:cs="Times New Roman"/>
          <w:sz w:val="24"/>
          <w:szCs w:val="24"/>
        </w:rPr>
        <w:t>Somatocarta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árbitros de futebol analisados. A = amostra total; B = árbitros da região Nordeste do Brasil; C = árbitros da região Sul do Brasil.</w:t>
      </w:r>
    </w:p>
    <w:p w:rsidR="00070CD6" w:rsidRDefault="00070CD6" w:rsidP="00070CD6">
      <w:pPr>
        <w:spacing w:line="480" w:lineRule="auto"/>
      </w:pPr>
      <w:r>
        <w:rPr>
          <w:noProof/>
          <w:lang w:eastAsia="pt-BR"/>
        </w:rPr>
        <w:drawing>
          <wp:inline distT="0" distB="0" distL="0" distR="0" wp14:anchorId="2BC157AA" wp14:editId="334CE0BC">
            <wp:extent cx="6124575" cy="1924050"/>
            <wp:effectExtent l="0" t="0" r="0" b="0"/>
            <wp:docPr id="3" name="Picture" descr="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Fig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CD6" w:rsidRDefault="00070CD6" w:rsidP="00070C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 – Os autores (2013)</w:t>
      </w:r>
    </w:p>
    <w:p w:rsidR="00070CD6" w:rsidRDefault="00070CD6">
      <w:bookmarkStart w:id="0" w:name="_GoBack"/>
      <w:bookmarkEnd w:id="0"/>
    </w:p>
    <w:sectPr w:rsidR="00070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D6"/>
    <w:rsid w:val="00070CD6"/>
    <w:rsid w:val="009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1B1B4-506D-49FD-B0B3-D35165A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0CD6"/>
    <w:pPr>
      <w:suppressAutoHyphens/>
      <w:spacing w:line="256" w:lineRule="auto"/>
    </w:pPr>
    <w:rPr>
      <w:rFonts w:ascii="Calibri" w:eastAsia="SimSu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2013-10-24T14:27:00Z</dcterms:created>
  <dcterms:modified xsi:type="dcterms:W3CDTF">2013-10-24T14:31:00Z</dcterms:modified>
</cp:coreProperties>
</file>