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  <w:bookmarkStart w:id="0" w:name="_GoBack"/>
      <w:bookmarkEnd w:id="0"/>
      <w:r w:rsidRPr="00926D71">
        <w:rPr>
          <w:b/>
          <w:color w:val="000000"/>
        </w:rPr>
        <w:t xml:space="preserve">Tabela 1. </w:t>
      </w:r>
      <w:r w:rsidRPr="00926D71">
        <w:rPr>
          <w:color w:val="000000"/>
        </w:rPr>
        <w:t>Identificação dos Agentes Comunitários de Saúde, amostra por conveniência. Juiz de Fora (MG), 2010.</w:t>
      </w:r>
    </w:p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960"/>
        <w:gridCol w:w="2840"/>
      </w:tblGrid>
      <w:tr w:rsidR="00FF446D" w:rsidRPr="00926D71" w:rsidTr="00B17D92">
        <w:trPr>
          <w:trHeight w:val="330"/>
        </w:trPr>
        <w:tc>
          <w:tcPr>
            <w:tcW w:w="2740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pBdr>
                <w:top w:val="single" w:sz="4" w:space="1" w:color="000000"/>
              </w:pBdr>
              <w:snapToGrid w:val="0"/>
              <w:spacing w:line="48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926D71">
              <w:rPr>
                <w:b/>
                <w:bCs/>
                <w:i/>
                <w:iCs/>
                <w:color w:val="000000"/>
              </w:rPr>
              <w:t>Sexo</w:t>
            </w:r>
          </w:p>
        </w:tc>
        <w:tc>
          <w:tcPr>
            <w:tcW w:w="2960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pBdr>
                <w:top w:val="single" w:sz="4" w:space="1" w:color="000000"/>
              </w:pBdr>
              <w:snapToGrid w:val="0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926D71">
              <w:rPr>
                <w:b/>
                <w:bCs/>
                <w:color w:val="000000"/>
              </w:rPr>
              <w:t>(n=)</w:t>
            </w:r>
          </w:p>
        </w:tc>
        <w:tc>
          <w:tcPr>
            <w:tcW w:w="2840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pBdr>
                <w:top w:val="single" w:sz="4" w:space="1" w:color="000000"/>
              </w:pBdr>
              <w:snapToGrid w:val="0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926D71">
              <w:rPr>
                <w:b/>
                <w:bCs/>
                <w:color w:val="000000"/>
              </w:rPr>
              <w:t>%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Feminino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35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89,7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Masculino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10,3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926D71">
              <w:rPr>
                <w:b/>
                <w:bCs/>
                <w:i/>
                <w:iCs/>
                <w:color w:val="000000"/>
              </w:rPr>
              <w:t>Grupo etário</w:t>
            </w:r>
          </w:p>
        </w:tc>
        <w:tc>
          <w:tcPr>
            <w:tcW w:w="2960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20-30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25,6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30-40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30,8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40-50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30,8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&gt;50</w:t>
            </w:r>
          </w:p>
        </w:tc>
        <w:tc>
          <w:tcPr>
            <w:tcW w:w="296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12,8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926D71">
              <w:rPr>
                <w:b/>
                <w:bCs/>
                <w:i/>
                <w:iCs/>
                <w:color w:val="000000"/>
              </w:rPr>
              <w:t>Escolaridade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Ens.Fund.incompleto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Ens.Fund.completo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Ens.Med.inconpleto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10,3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Ens.Med.completo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28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71,8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Ens.Sup.incompleto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Ens.Sup.Completo</w:t>
            </w:r>
          </w:p>
        </w:tc>
        <w:tc>
          <w:tcPr>
            <w:tcW w:w="296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926D71">
              <w:rPr>
                <w:b/>
                <w:bCs/>
                <w:i/>
                <w:iCs/>
                <w:color w:val="000000"/>
              </w:rPr>
              <w:t>Renda per capta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bCs/>
                <w:iCs/>
                <w:color w:val="000000"/>
              </w:rPr>
            </w:pPr>
            <w:r w:rsidRPr="00926D71">
              <w:rPr>
                <w:b/>
                <w:bCs/>
                <w:iCs/>
                <w:color w:val="000000"/>
              </w:rPr>
              <w:t>Salários mínimos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 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&lt; 3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35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89,7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3-5</w:t>
            </w:r>
          </w:p>
        </w:tc>
        <w:tc>
          <w:tcPr>
            <w:tcW w:w="296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  <w:tr w:rsidR="00FF446D" w:rsidRPr="00926D71" w:rsidTr="00B17D92">
        <w:trPr>
          <w:trHeight w:val="330"/>
        </w:trPr>
        <w:tc>
          <w:tcPr>
            <w:tcW w:w="27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&gt;5</w:t>
            </w:r>
          </w:p>
        </w:tc>
        <w:tc>
          <w:tcPr>
            <w:tcW w:w="296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</w:tbl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Fonte: </w:t>
      </w:r>
      <w:r w:rsidRPr="00A84ED9">
        <w:rPr>
          <w:color w:val="000000"/>
        </w:rPr>
        <w:t>Os autores (2011).</w:t>
      </w: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  <w:r w:rsidRPr="00926D71">
        <w:rPr>
          <w:b/>
          <w:color w:val="000000"/>
        </w:rPr>
        <w:lastRenderedPageBreak/>
        <w:t xml:space="preserve">Tabela 2. </w:t>
      </w:r>
      <w:r w:rsidRPr="00926D71">
        <w:rPr>
          <w:color w:val="000000"/>
        </w:rPr>
        <w:t>Perfil profissional dos Agentes Comunitários de Saúde. Juiz de Fora (MG), 2010.</w:t>
      </w: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FF446D" w:rsidRPr="00926D71" w:rsidTr="00B17D92"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Tempo que reside na comunidade</w:t>
            </w:r>
          </w:p>
        </w:tc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(n=)</w:t>
            </w:r>
          </w:p>
        </w:tc>
        <w:tc>
          <w:tcPr>
            <w:tcW w:w="2882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%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Anos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1-5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0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5-10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10-15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16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41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Mais que 15 anos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22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56,4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Tempo que atua como ACS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Anos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1-2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7,7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3-4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15,4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5-7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11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28,2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Mais que 10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30,8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17,9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Número de visitas diárias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&gt; 10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28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71,8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15-20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10,3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&lt; 20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</w:t>
            </w:r>
          </w:p>
        </w:tc>
        <w:tc>
          <w:tcPr>
            <w:tcW w:w="2882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17,9</w:t>
            </w:r>
          </w:p>
        </w:tc>
      </w:tr>
    </w:tbl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Fonte: </w:t>
      </w:r>
      <w:r w:rsidRPr="00A84ED9">
        <w:rPr>
          <w:color w:val="000000"/>
        </w:rPr>
        <w:t>Os autores (2011).</w:t>
      </w: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  <w:r w:rsidRPr="00926D71">
        <w:rPr>
          <w:b/>
          <w:color w:val="000000"/>
        </w:rPr>
        <w:t xml:space="preserve">Tabela 3. </w:t>
      </w:r>
      <w:r w:rsidRPr="00926D71">
        <w:rPr>
          <w:color w:val="000000"/>
        </w:rPr>
        <w:t>Sobre a capacitação em saúde bucal (relação entre Cirurgião-dentista/ Agente Comunitário de Saúde). Juiz de Fora (MG), 2010.</w:t>
      </w:r>
    </w:p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FF446D" w:rsidRPr="00926D71" w:rsidTr="00B17D92"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Teve capacitação</w:t>
            </w:r>
          </w:p>
        </w:tc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(n=)</w:t>
            </w:r>
          </w:p>
        </w:tc>
        <w:tc>
          <w:tcPr>
            <w:tcW w:w="2882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%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84,6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15,4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Assistiu palestras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35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89,7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10,3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Realiza atividade de saúde bucal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22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56,4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16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41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responderam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Acompanhamento dos CD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Reuniões periódicas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17,9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31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79,5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Acessibilidade dos CD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30,8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59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10,3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Registro das atividades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16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41,0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23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59,0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 xml:space="preserve">Existência de dificuldade </w:t>
            </w:r>
            <w:r w:rsidRPr="00926D71">
              <w:rPr>
                <w:b/>
                <w:i/>
                <w:color w:val="000000"/>
              </w:rPr>
              <w:lastRenderedPageBreak/>
              <w:t>para realização do trabalho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lastRenderedPageBreak/>
              <w:t>Muito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33,3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Pouco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21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53,8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Regular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7,7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Sem dificuldade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5,1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As atividades em saúde bucal são atribuições do ACS?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84,6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15,4</w:t>
            </w:r>
          </w:p>
        </w:tc>
      </w:tr>
    </w:tbl>
    <w:p w:rsidR="00FF446D" w:rsidRDefault="00FF446D" w:rsidP="00FF446D">
      <w:pPr>
        <w:spacing w:line="480" w:lineRule="auto"/>
        <w:jc w:val="both"/>
        <w:rPr>
          <w:color w:val="000000"/>
        </w:rPr>
      </w:pPr>
      <w:r>
        <w:rPr>
          <w:b/>
          <w:color w:val="000000"/>
        </w:rPr>
        <w:t xml:space="preserve">Fonte: </w:t>
      </w:r>
      <w:r w:rsidRPr="00A84ED9">
        <w:rPr>
          <w:color w:val="000000"/>
        </w:rPr>
        <w:t>Os autores (2011).</w:t>
      </w:r>
    </w:p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  <w:r w:rsidRPr="00926D71">
        <w:rPr>
          <w:b/>
          <w:color w:val="000000"/>
        </w:rPr>
        <w:t xml:space="preserve">Tabela 4. </w:t>
      </w:r>
      <w:r w:rsidRPr="00926D71">
        <w:rPr>
          <w:color w:val="000000"/>
        </w:rPr>
        <w:t>Atividades sobre saúde bucal realizadas na comunidade. Juiz de Fora (MG), 2010.</w:t>
      </w:r>
    </w:p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FF446D" w:rsidRPr="00926D71" w:rsidTr="00B17D92"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82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center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O</w:t>
            </w:r>
            <w:r>
              <w:rPr>
                <w:b/>
                <w:i/>
                <w:color w:val="000000"/>
              </w:rPr>
              <w:t xml:space="preserve">rientações para </w:t>
            </w:r>
            <w:r w:rsidRPr="00926D71">
              <w:rPr>
                <w:b/>
                <w:i/>
                <w:color w:val="000000"/>
              </w:rPr>
              <w:t>gestantes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(n=)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%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13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33.3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25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64.1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bCs/>
                <w:i/>
                <w:color w:val="000000"/>
              </w:rPr>
            </w:pPr>
            <w:r w:rsidRPr="00926D71">
              <w:rPr>
                <w:b/>
                <w:bCs/>
                <w:i/>
                <w:color w:val="000000"/>
              </w:rPr>
              <w:t>Educação para bebês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51,3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46,2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lastRenderedPageBreak/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Escovação supervisionada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Sim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12,8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84,6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Aplicação de flúor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Sim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Não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94,9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Educação em saúde bucal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43.6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Não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53.8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Orientação aos usuários de prótese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46.2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51.3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rPr>
          <w:trHeight w:val="741"/>
        </w:trPr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Orientação sobre cuidados a serem tomados com as escovas dentais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59</w:t>
            </w:r>
          </w:p>
        </w:tc>
      </w:tr>
      <w:tr w:rsidR="00FF446D" w:rsidRPr="00926D71" w:rsidTr="00B17D92">
        <w:trPr>
          <w:trHeight w:val="80"/>
        </w:trPr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Não 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16</w:t>
            </w:r>
          </w:p>
        </w:tc>
        <w:tc>
          <w:tcPr>
            <w:tcW w:w="288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41</w:t>
            </w:r>
          </w:p>
        </w:tc>
      </w:tr>
    </w:tbl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Fonte: </w:t>
      </w:r>
      <w:r w:rsidRPr="00A84ED9">
        <w:rPr>
          <w:color w:val="000000"/>
        </w:rPr>
        <w:t>Os autores (2011).</w:t>
      </w: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  <w:r w:rsidRPr="00926D71">
        <w:rPr>
          <w:b/>
          <w:color w:val="000000"/>
        </w:rPr>
        <w:lastRenderedPageBreak/>
        <w:t xml:space="preserve">Tabela 5. </w:t>
      </w:r>
      <w:r w:rsidRPr="00926D71">
        <w:rPr>
          <w:color w:val="000000"/>
        </w:rPr>
        <w:t>Conhecimentos sobre saúde bucal. Juiz de Fora (MG), 2010.</w:t>
      </w:r>
    </w:p>
    <w:p w:rsidR="00FF446D" w:rsidRPr="00926D71" w:rsidRDefault="00FF446D" w:rsidP="00FF446D">
      <w:pPr>
        <w:spacing w:line="480" w:lineRule="auto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FF446D" w:rsidRPr="00926D71" w:rsidTr="00B17D92"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O que causa cárie?</w:t>
            </w:r>
          </w:p>
        </w:tc>
        <w:tc>
          <w:tcPr>
            <w:tcW w:w="2881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(n*=)</w:t>
            </w:r>
          </w:p>
        </w:tc>
        <w:tc>
          <w:tcPr>
            <w:tcW w:w="2882" w:type="dxa"/>
            <w:tcBorders>
              <w:top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%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Hereditariedade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0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39</w:t>
            </w: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100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Dentes fracos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97,4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Antibióticos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15,4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84,6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Alimentos cariogênicos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Sim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20,5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79,5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Ausência de flúor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15,4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82,1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Má higienização</w:t>
            </w:r>
          </w:p>
        </w:tc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 xml:space="preserve">Sim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97,4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2,6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Você sabe o que é placa bacteriana?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84.6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12.8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lastRenderedPageBreak/>
              <w:t>Não respondeu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Como evitá-la?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Comer alimentos saudáveis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33.3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66.7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Higienização correta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94.9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5.1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Uso de fio dental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82.1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17.9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Aplicação de flúor tópico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17.9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82.1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color w:val="000000"/>
              </w:rPr>
            </w:pPr>
            <w:r w:rsidRPr="00926D71">
              <w:rPr>
                <w:b/>
                <w:color w:val="000000"/>
              </w:rPr>
              <w:t>Como pode ser removida?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Raspagem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69.2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25.6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5.1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Uso de fio dental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59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respondeu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lastRenderedPageBreak/>
              <w:t>Gestante/Bebê</w:t>
            </w:r>
          </w:p>
        </w:tc>
        <w:tc>
          <w:tcPr>
            <w:tcW w:w="28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Gestante pode ir ao CD?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87.2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sabe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10.3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Primeira visita do bebê ao CD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1º ano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71.8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1-2 anos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7.7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Depois de 2 anos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12.8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 sabe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7.7</w:t>
            </w: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b/>
                <w:i/>
                <w:color w:val="000000"/>
              </w:rPr>
            </w:pPr>
            <w:r w:rsidRPr="00926D71">
              <w:rPr>
                <w:b/>
                <w:i/>
                <w:color w:val="000000"/>
              </w:rPr>
              <w:t>Deve-se ter cuidados com a alimentação do bebê?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FF446D" w:rsidRPr="00926D71" w:rsidTr="00B17D92">
        <w:tc>
          <w:tcPr>
            <w:tcW w:w="2881" w:type="dxa"/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Sim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38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97.4</w:t>
            </w:r>
          </w:p>
        </w:tc>
      </w:tr>
      <w:tr w:rsidR="00FF446D" w:rsidRPr="00926D71" w:rsidTr="00B17D92"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</w:tcPr>
          <w:p w:rsidR="00FF446D" w:rsidRPr="00926D71" w:rsidRDefault="00FF446D" w:rsidP="00B17D92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Não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F446D" w:rsidRPr="00926D71" w:rsidRDefault="00FF446D" w:rsidP="00B17D92">
            <w:pPr>
              <w:autoSpaceDE w:val="0"/>
              <w:snapToGrid w:val="0"/>
              <w:spacing w:line="480" w:lineRule="auto"/>
              <w:jc w:val="both"/>
              <w:rPr>
                <w:color w:val="000000"/>
              </w:rPr>
            </w:pPr>
            <w:r w:rsidRPr="00926D71">
              <w:rPr>
                <w:color w:val="000000"/>
              </w:rPr>
              <w:t>2.6</w:t>
            </w:r>
          </w:p>
        </w:tc>
      </w:tr>
    </w:tbl>
    <w:p w:rsidR="00FF446D" w:rsidRDefault="00FF446D" w:rsidP="00FF446D">
      <w:pPr>
        <w:spacing w:line="480" w:lineRule="auto"/>
        <w:jc w:val="both"/>
      </w:pPr>
      <w:r w:rsidRPr="00926D71">
        <w:t xml:space="preserve"> *Nestas perguntas os ACS puderam marcar mais de uma opção de resposta</w:t>
      </w:r>
      <w:r>
        <w:t>.</w:t>
      </w:r>
    </w:p>
    <w:p w:rsidR="00FF446D" w:rsidRPr="00926D71" w:rsidRDefault="00FF446D" w:rsidP="00FF446D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Fonte: </w:t>
      </w:r>
      <w:r w:rsidRPr="00A84ED9">
        <w:rPr>
          <w:color w:val="000000"/>
        </w:rPr>
        <w:t>Os autores (2011).</w:t>
      </w:r>
    </w:p>
    <w:p w:rsidR="008A7CF8" w:rsidRDefault="008A7CF8"/>
    <w:sectPr w:rsidR="008A7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D"/>
    <w:rsid w:val="00774ADA"/>
    <w:rsid w:val="008A7CF8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 Reis Mockdeci</dc:creator>
  <cp:lastModifiedBy>Hanny Reis Mockdeci</cp:lastModifiedBy>
  <cp:revision>2</cp:revision>
  <dcterms:created xsi:type="dcterms:W3CDTF">2013-06-13T14:07:00Z</dcterms:created>
  <dcterms:modified xsi:type="dcterms:W3CDTF">2013-06-13T14:07:00Z</dcterms:modified>
</cp:coreProperties>
</file>