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C0" w:rsidRPr="00557A6B" w:rsidRDefault="004960C0" w:rsidP="004960C0">
      <w:pPr>
        <w:pStyle w:val="Legenda"/>
        <w:keepNext/>
        <w:spacing w:after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Ref330068183"/>
      <w:r w:rsidRPr="00557A6B">
        <w:rPr>
          <w:rFonts w:ascii="Times New Roman" w:hAnsi="Times New Roman"/>
          <w:b w:val="0"/>
          <w:color w:val="auto"/>
          <w:sz w:val="24"/>
          <w:szCs w:val="24"/>
        </w:rPr>
        <w:t xml:space="preserve">Tabela 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instrText xml:space="preserve"> SEQ Tabela \* ARABIC </w:instrTex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557A6B">
        <w:rPr>
          <w:rFonts w:ascii="Times New Roman" w:hAnsi="Times New Roman"/>
          <w:b w:val="0"/>
          <w:noProof/>
          <w:color w:val="auto"/>
          <w:sz w:val="24"/>
          <w:szCs w:val="24"/>
        </w:rPr>
        <w:t>1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t xml:space="preserve">: Doenças diagnosticadas na amostra, entre 2009-2012, em Juiz de Fora - </w:t>
      </w:r>
      <w:proofErr w:type="gramStart"/>
      <w:r w:rsidRPr="00557A6B">
        <w:rPr>
          <w:rFonts w:ascii="Times New Roman" w:hAnsi="Times New Roman"/>
          <w:b w:val="0"/>
          <w:color w:val="auto"/>
          <w:sz w:val="24"/>
          <w:szCs w:val="24"/>
        </w:rPr>
        <w:t>MG</w:t>
      </w:r>
      <w:bookmarkEnd w:id="0"/>
      <w:proofErr w:type="gramEnd"/>
    </w:p>
    <w:tbl>
      <w:tblPr>
        <w:tblW w:w="6135" w:type="dxa"/>
        <w:jc w:val="center"/>
        <w:tblInd w:w="-8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92"/>
        <w:gridCol w:w="1483"/>
        <w:gridCol w:w="960"/>
      </w:tblGrid>
      <w:tr w:rsidR="004960C0" w:rsidRPr="00B165BB" w:rsidTr="00C80255">
        <w:trPr>
          <w:trHeight w:val="300"/>
          <w:jc w:val="center"/>
        </w:trPr>
        <w:tc>
          <w:tcPr>
            <w:tcW w:w="3692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Patologias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Crianças Diagnosticadas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Icterícia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40,35%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Problemas nutricionais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7,02%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Patologias oftalmológicas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5,85%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Doenças </w:t>
            </w:r>
            <w:proofErr w:type="spell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osteo-musculares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2,92%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Doenças genitais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2,92%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Doenças Infecto</w:t>
            </w:r>
            <w:proofErr w:type="gramEnd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-Parasitárias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2,92%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Doenças </w:t>
            </w:r>
            <w:proofErr w:type="spell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Gastro-Intestinais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1,75%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Patologias Cranianas</w: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1,17%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Má formações</w:t>
            </w:r>
            <w:proofErr w:type="gramEnd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faciais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1,17%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Criança Sindrômica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0,58%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Doenças da Parede abdominal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0,58%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2,34%</w:t>
            </w:r>
          </w:p>
        </w:tc>
      </w:tr>
      <w:tr w:rsidR="004960C0" w:rsidRPr="00B165BB" w:rsidTr="00C80255">
        <w:trPr>
          <w:trHeight w:val="300"/>
          <w:jc w:val="center"/>
        </w:trPr>
        <w:tc>
          <w:tcPr>
            <w:tcW w:w="36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4960C0" w:rsidRPr="00B165BB" w:rsidRDefault="004960C0" w:rsidP="00C8025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B165BB">
              <w:rPr>
                <w:rFonts w:ascii="Times New Roman" w:hAnsi="Times New Roman"/>
                <w:sz w:val="24"/>
                <w:szCs w:val="24"/>
                <w:lang w:eastAsia="pt-BR"/>
              </w:rPr>
              <w:t>69,59%</w:t>
            </w:r>
          </w:p>
        </w:tc>
      </w:tr>
    </w:tbl>
    <w:p w:rsidR="004960C0" w:rsidRPr="00B165BB" w:rsidRDefault="004960C0" w:rsidP="004960C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5BB">
        <w:rPr>
          <w:rFonts w:ascii="Times New Roman" w:hAnsi="Times New Roman"/>
          <w:sz w:val="24"/>
          <w:szCs w:val="24"/>
        </w:rPr>
        <w:t>Fonte: Os autores (2012)</w:t>
      </w:r>
    </w:p>
    <w:p w:rsidR="004D4C35" w:rsidRDefault="004D4C35"/>
    <w:p w:rsidR="004960C0" w:rsidRPr="00B165BB" w:rsidRDefault="004960C0" w:rsidP="004960C0">
      <w:pPr>
        <w:keepNext/>
        <w:spacing w:after="0" w:line="360" w:lineRule="auto"/>
        <w:ind w:firstLine="709"/>
        <w:jc w:val="both"/>
      </w:pPr>
      <w:r w:rsidRPr="00B165BB">
        <w:rPr>
          <w:noProof/>
          <w:lang w:eastAsia="pt-BR"/>
        </w:rPr>
        <w:drawing>
          <wp:inline distT="0" distB="0" distL="0" distR="0" wp14:anchorId="3F2E44B9" wp14:editId="6D0F46BE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60C0" w:rsidRPr="00557A6B" w:rsidRDefault="004960C0" w:rsidP="004960C0">
      <w:pPr>
        <w:pStyle w:val="Legenda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1" w:name="_Ref337064633"/>
      <w:r w:rsidRPr="00557A6B">
        <w:rPr>
          <w:rFonts w:ascii="Times New Roman" w:hAnsi="Times New Roman"/>
          <w:b w:val="0"/>
          <w:color w:val="auto"/>
          <w:sz w:val="24"/>
          <w:szCs w:val="24"/>
        </w:rPr>
        <w:t xml:space="preserve">Gráfico 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instrText xml:space="preserve"> SEQ Gráfico \* ARABIC </w:instrTex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557A6B">
        <w:rPr>
          <w:rFonts w:ascii="Times New Roman" w:hAnsi="Times New Roman"/>
          <w:b w:val="0"/>
          <w:noProof/>
          <w:color w:val="auto"/>
          <w:sz w:val="24"/>
          <w:szCs w:val="24"/>
        </w:rPr>
        <w:t>1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bookmarkEnd w:id="1"/>
      <w:r w:rsidRPr="00557A6B">
        <w:rPr>
          <w:rFonts w:ascii="Times New Roman" w:hAnsi="Times New Roman"/>
          <w:b w:val="0"/>
          <w:color w:val="auto"/>
          <w:sz w:val="24"/>
          <w:szCs w:val="24"/>
        </w:rPr>
        <w:t>: Percentagem de nascimentos conforme sexo em uma Unidade Especial de Puericultura (2009 a 2012, Juiz de Fora) e na cidade de Juiz de Fora,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t>Minas Gerais (BRASIL, 2012</w:t>
      </w:r>
      <w:proofErr w:type="gramStart"/>
      <w:r w:rsidRPr="00557A6B">
        <w:rPr>
          <w:rFonts w:ascii="Times New Roman" w:hAnsi="Times New Roman"/>
          <w:b w:val="0"/>
          <w:color w:val="auto"/>
          <w:sz w:val="24"/>
          <w:szCs w:val="24"/>
        </w:rPr>
        <w:t>)</w:t>
      </w:r>
      <w:proofErr w:type="gramEnd"/>
    </w:p>
    <w:p w:rsidR="004960C0" w:rsidRDefault="004960C0"/>
    <w:p w:rsidR="004960C0" w:rsidRPr="00B165BB" w:rsidRDefault="004960C0" w:rsidP="004960C0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5BB"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76B73EAF" wp14:editId="6EECB3C9">
            <wp:extent cx="5419725" cy="2466975"/>
            <wp:effectExtent l="0" t="0" r="0" b="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60C0" w:rsidRPr="00557A6B" w:rsidRDefault="004960C0" w:rsidP="004960C0">
      <w:pPr>
        <w:pStyle w:val="Legenda"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Ref335565090"/>
      <w:bookmarkStart w:id="3" w:name="_Ref335565072"/>
      <w:r w:rsidRPr="00557A6B">
        <w:rPr>
          <w:rFonts w:ascii="Times New Roman" w:hAnsi="Times New Roman"/>
          <w:b w:val="0"/>
          <w:color w:val="auto"/>
          <w:sz w:val="24"/>
          <w:szCs w:val="24"/>
        </w:rPr>
        <w:t xml:space="preserve">Gráfico 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instrText xml:space="preserve"> SEQ Gráfico \* ARABIC </w:instrTex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557A6B">
        <w:rPr>
          <w:rFonts w:ascii="Times New Roman" w:hAnsi="Times New Roman"/>
          <w:b w:val="0"/>
          <w:noProof/>
          <w:color w:val="auto"/>
          <w:sz w:val="24"/>
          <w:szCs w:val="24"/>
        </w:rPr>
        <w:t>2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bookmarkEnd w:id="2"/>
      <w:r w:rsidRPr="00557A6B">
        <w:rPr>
          <w:rFonts w:ascii="Times New Roman" w:hAnsi="Times New Roman"/>
          <w:b w:val="0"/>
          <w:color w:val="auto"/>
          <w:sz w:val="24"/>
          <w:szCs w:val="24"/>
        </w:rPr>
        <w:t>: Percentagem de Aleitamento Materno Exclusivo em uma Unidade Especializada em Puericultura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t>-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t>2009 a 2012, Juiz de Fora, em Belo Horizonte, Região Sudeste e Brasil (BRASIL, 2009</w:t>
      </w:r>
      <w:proofErr w:type="gramStart"/>
      <w:r w:rsidRPr="00557A6B">
        <w:rPr>
          <w:rFonts w:ascii="Times New Roman" w:hAnsi="Times New Roman"/>
          <w:b w:val="0"/>
          <w:color w:val="auto"/>
          <w:sz w:val="24"/>
          <w:szCs w:val="24"/>
        </w:rPr>
        <w:t>)</w:t>
      </w:r>
      <w:bookmarkEnd w:id="3"/>
      <w:proofErr w:type="gramEnd"/>
    </w:p>
    <w:p w:rsidR="004960C0" w:rsidRDefault="004960C0"/>
    <w:p w:rsidR="004960C0" w:rsidRPr="00B165BB" w:rsidRDefault="004960C0" w:rsidP="004960C0">
      <w:pPr>
        <w:keepNext/>
        <w:spacing w:after="0" w:line="360" w:lineRule="auto"/>
        <w:ind w:firstLine="708"/>
        <w:jc w:val="both"/>
      </w:pPr>
      <w:r w:rsidRPr="00B165BB">
        <w:rPr>
          <w:noProof/>
          <w:lang w:eastAsia="pt-BR"/>
        </w:rPr>
        <w:drawing>
          <wp:inline distT="0" distB="0" distL="0" distR="0" wp14:anchorId="44031600" wp14:editId="456FE780">
            <wp:extent cx="5400675" cy="3276600"/>
            <wp:effectExtent l="0" t="0" r="9525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60C0" w:rsidRPr="00557A6B" w:rsidRDefault="004960C0" w:rsidP="004960C0">
      <w:pPr>
        <w:pStyle w:val="Legenda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" w:name="_Ref336971625"/>
      <w:r w:rsidRPr="00557A6B">
        <w:rPr>
          <w:b w:val="0"/>
          <w:color w:val="auto"/>
          <w:sz w:val="24"/>
          <w:szCs w:val="24"/>
        </w:rPr>
        <w:t xml:space="preserve">Gráfico </w:t>
      </w:r>
      <w:r w:rsidRPr="00557A6B">
        <w:rPr>
          <w:b w:val="0"/>
          <w:color w:val="auto"/>
          <w:sz w:val="24"/>
          <w:szCs w:val="24"/>
        </w:rPr>
        <w:fldChar w:fldCharType="begin"/>
      </w:r>
      <w:r w:rsidRPr="00557A6B">
        <w:rPr>
          <w:b w:val="0"/>
          <w:color w:val="auto"/>
          <w:sz w:val="24"/>
          <w:szCs w:val="24"/>
        </w:rPr>
        <w:instrText xml:space="preserve"> SEQ Gráfico \* ARABIC </w:instrText>
      </w:r>
      <w:r w:rsidRPr="00557A6B">
        <w:rPr>
          <w:b w:val="0"/>
          <w:color w:val="auto"/>
          <w:sz w:val="24"/>
          <w:szCs w:val="24"/>
        </w:rPr>
        <w:fldChar w:fldCharType="separate"/>
      </w:r>
      <w:r w:rsidRPr="00557A6B">
        <w:rPr>
          <w:b w:val="0"/>
          <w:noProof/>
          <w:color w:val="auto"/>
          <w:sz w:val="24"/>
          <w:szCs w:val="24"/>
        </w:rPr>
        <w:t>3</w:t>
      </w:r>
      <w:r w:rsidRPr="00557A6B">
        <w:rPr>
          <w:b w:val="0"/>
          <w:color w:val="auto"/>
          <w:sz w:val="24"/>
          <w:szCs w:val="24"/>
        </w:rPr>
        <w:fldChar w:fldCharType="end"/>
      </w:r>
      <w:bookmarkEnd w:id="4"/>
      <w:r w:rsidRPr="00557A6B">
        <w:rPr>
          <w:b w:val="0"/>
          <w:color w:val="auto"/>
          <w:sz w:val="24"/>
          <w:szCs w:val="24"/>
        </w:rPr>
        <w:t>: Percentagem de nascimentos conforme peso ao nascer em uma Unidade Especial de Puericultura</w:t>
      </w:r>
      <w:r>
        <w:rPr>
          <w:b w:val="0"/>
          <w:color w:val="auto"/>
          <w:sz w:val="24"/>
          <w:szCs w:val="24"/>
        </w:rPr>
        <w:t xml:space="preserve"> </w:t>
      </w:r>
      <w:r w:rsidRPr="00557A6B">
        <w:rPr>
          <w:b w:val="0"/>
          <w:color w:val="auto"/>
          <w:sz w:val="24"/>
          <w:szCs w:val="24"/>
        </w:rPr>
        <w:t>-</w:t>
      </w:r>
      <w:r>
        <w:rPr>
          <w:b w:val="0"/>
          <w:color w:val="auto"/>
          <w:sz w:val="24"/>
          <w:szCs w:val="24"/>
        </w:rPr>
        <w:t xml:space="preserve"> 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t>2009 a 2012, Juiz de Fora</w:t>
      </w:r>
      <w:proofErr w:type="gramStart"/>
      <w:r w:rsidRPr="00557A6B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557A6B">
        <w:rPr>
          <w:b w:val="0"/>
          <w:color w:val="auto"/>
          <w:sz w:val="24"/>
          <w:szCs w:val="24"/>
        </w:rPr>
        <w:t>;</w:t>
      </w:r>
      <w:proofErr w:type="gramEnd"/>
      <w:r w:rsidRPr="00557A6B">
        <w:rPr>
          <w:b w:val="0"/>
          <w:color w:val="auto"/>
          <w:sz w:val="24"/>
          <w:szCs w:val="24"/>
        </w:rPr>
        <w:t xml:space="preserve"> e na cidade de Juiz de Fora, Minas Gerais (BRASIL, 2012)</w:t>
      </w:r>
    </w:p>
    <w:p w:rsidR="004960C0" w:rsidRDefault="004960C0"/>
    <w:p w:rsidR="004960C0" w:rsidRPr="00B165BB" w:rsidRDefault="004960C0" w:rsidP="004960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65BB"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6E158662" wp14:editId="4AD15004">
            <wp:extent cx="5419725" cy="2457450"/>
            <wp:effectExtent l="0" t="0" r="0" b="0"/>
            <wp:docPr id="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60C0" w:rsidRPr="00557A6B" w:rsidRDefault="004960C0" w:rsidP="004960C0">
      <w:pPr>
        <w:pStyle w:val="Legenda"/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Ref335565420"/>
      <w:r w:rsidRPr="00557A6B">
        <w:rPr>
          <w:rFonts w:ascii="Times New Roman" w:hAnsi="Times New Roman"/>
          <w:b w:val="0"/>
          <w:color w:val="auto"/>
          <w:sz w:val="24"/>
          <w:szCs w:val="24"/>
        </w:rPr>
        <w:t xml:space="preserve">Gráfico 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begin"/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instrText xml:space="preserve"> SEQ Gráfico \* ARABIC </w:instrTex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separate"/>
      </w:r>
      <w:r w:rsidRPr="00557A6B">
        <w:rPr>
          <w:rFonts w:ascii="Times New Roman" w:hAnsi="Times New Roman"/>
          <w:b w:val="0"/>
          <w:noProof/>
          <w:color w:val="auto"/>
          <w:sz w:val="24"/>
          <w:szCs w:val="24"/>
        </w:rPr>
        <w:t>4</w:t>
      </w:r>
      <w:r w:rsidRPr="00557A6B">
        <w:rPr>
          <w:rFonts w:ascii="Times New Roman" w:hAnsi="Times New Roman"/>
          <w:b w:val="0"/>
          <w:color w:val="auto"/>
          <w:sz w:val="24"/>
          <w:szCs w:val="24"/>
        </w:rPr>
        <w:fldChar w:fldCharType="end"/>
      </w:r>
      <w:bookmarkEnd w:id="5"/>
      <w:r w:rsidRPr="00557A6B">
        <w:rPr>
          <w:rFonts w:ascii="Times New Roman" w:hAnsi="Times New Roman"/>
          <w:b w:val="0"/>
          <w:color w:val="auto"/>
          <w:sz w:val="24"/>
          <w:szCs w:val="24"/>
        </w:rPr>
        <w:t>: Percentagem de Baixo Peso ao Nascer em uma Unidade Especializada em Puericultura, em Minas Gerais, no Sudeste e Brasil (BRASIL, 2012</w:t>
      </w:r>
      <w:proofErr w:type="gramStart"/>
      <w:r w:rsidRPr="00557A6B">
        <w:rPr>
          <w:rFonts w:ascii="Times New Roman" w:hAnsi="Times New Roman"/>
          <w:b w:val="0"/>
          <w:color w:val="auto"/>
          <w:sz w:val="24"/>
          <w:szCs w:val="24"/>
        </w:rPr>
        <w:t>)</w:t>
      </w:r>
      <w:proofErr w:type="gramEnd"/>
    </w:p>
    <w:p w:rsidR="004960C0" w:rsidRDefault="004960C0"/>
    <w:p w:rsidR="004960C0" w:rsidRPr="00B165BB" w:rsidRDefault="004960C0" w:rsidP="004960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165BB">
        <w:rPr>
          <w:noProof/>
          <w:lang w:eastAsia="pt-BR"/>
        </w:rPr>
        <w:drawing>
          <wp:inline distT="0" distB="0" distL="0" distR="0" wp14:anchorId="79C51519" wp14:editId="18C76096">
            <wp:extent cx="5095875" cy="3057525"/>
            <wp:effectExtent l="0" t="0" r="9525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60C0" w:rsidRPr="00557A6B" w:rsidRDefault="004960C0" w:rsidP="004960C0">
      <w:pPr>
        <w:pStyle w:val="Legenda"/>
        <w:rPr>
          <w:rFonts w:ascii="Times New Roman" w:hAnsi="Times New Roman"/>
          <w:b w:val="0"/>
          <w:color w:val="auto"/>
          <w:sz w:val="24"/>
          <w:szCs w:val="24"/>
          <w:highlight w:val="yellow"/>
        </w:rPr>
      </w:pPr>
      <w:bookmarkStart w:id="6" w:name="_Ref336971595"/>
      <w:r w:rsidRPr="00557A6B">
        <w:rPr>
          <w:b w:val="0"/>
          <w:color w:val="auto"/>
          <w:sz w:val="24"/>
          <w:szCs w:val="24"/>
        </w:rPr>
        <w:t xml:space="preserve">Gráfico </w:t>
      </w:r>
      <w:r w:rsidRPr="00557A6B">
        <w:rPr>
          <w:b w:val="0"/>
          <w:color w:val="auto"/>
          <w:sz w:val="24"/>
          <w:szCs w:val="24"/>
        </w:rPr>
        <w:fldChar w:fldCharType="begin"/>
      </w:r>
      <w:r w:rsidRPr="00557A6B">
        <w:rPr>
          <w:b w:val="0"/>
          <w:color w:val="auto"/>
          <w:sz w:val="24"/>
          <w:szCs w:val="24"/>
        </w:rPr>
        <w:instrText xml:space="preserve"> SEQ Gráfico \* ARABIC </w:instrText>
      </w:r>
      <w:r w:rsidRPr="00557A6B">
        <w:rPr>
          <w:b w:val="0"/>
          <w:color w:val="auto"/>
          <w:sz w:val="24"/>
          <w:szCs w:val="24"/>
        </w:rPr>
        <w:fldChar w:fldCharType="separate"/>
      </w:r>
      <w:r w:rsidRPr="00557A6B">
        <w:rPr>
          <w:b w:val="0"/>
          <w:noProof/>
          <w:color w:val="auto"/>
          <w:sz w:val="24"/>
          <w:szCs w:val="24"/>
        </w:rPr>
        <w:t>5</w:t>
      </w:r>
      <w:r w:rsidRPr="00557A6B">
        <w:rPr>
          <w:b w:val="0"/>
          <w:color w:val="auto"/>
          <w:sz w:val="24"/>
          <w:szCs w:val="24"/>
        </w:rPr>
        <w:fldChar w:fldCharType="end"/>
      </w:r>
      <w:bookmarkEnd w:id="6"/>
      <w:r w:rsidRPr="00557A6B">
        <w:rPr>
          <w:b w:val="0"/>
          <w:color w:val="auto"/>
          <w:sz w:val="24"/>
          <w:szCs w:val="24"/>
        </w:rPr>
        <w:t>: Percentagem de nascimentos conforme faixa etária materna em uma Unidade Especial de Puericultura</w:t>
      </w:r>
      <w:r>
        <w:rPr>
          <w:b w:val="0"/>
          <w:color w:val="auto"/>
          <w:sz w:val="24"/>
          <w:szCs w:val="24"/>
        </w:rPr>
        <w:t xml:space="preserve"> </w:t>
      </w:r>
      <w:r w:rsidRPr="00557A6B">
        <w:rPr>
          <w:b w:val="0"/>
          <w:color w:val="auto"/>
          <w:sz w:val="24"/>
          <w:szCs w:val="24"/>
        </w:rPr>
        <w:t>- 2009 a 2012, Juiz de Fora; e na cidade de Juiz de Fora (BRASIL, 2012</w:t>
      </w:r>
      <w:proofErr w:type="gramStart"/>
      <w:r w:rsidRPr="00557A6B">
        <w:rPr>
          <w:b w:val="0"/>
          <w:color w:val="auto"/>
          <w:sz w:val="24"/>
          <w:szCs w:val="24"/>
        </w:rPr>
        <w:t>)</w:t>
      </w:r>
      <w:proofErr w:type="gramEnd"/>
    </w:p>
    <w:p w:rsidR="004960C0" w:rsidRDefault="004960C0">
      <w:bookmarkStart w:id="7" w:name="_GoBack"/>
      <w:bookmarkEnd w:id="7"/>
    </w:p>
    <w:sectPr w:rsidR="00496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EA"/>
    <w:rsid w:val="001F725D"/>
    <w:rsid w:val="004960C0"/>
    <w:rsid w:val="004D4C35"/>
    <w:rsid w:val="00587E74"/>
    <w:rsid w:val="008233F9"/>
    <w:rsid w:val="00893FEA"/>
    <w:rsid w:val="00C006AA"/>
    <w:rsid w:val="00C133EA"/>
    <w:rsid w:val="00E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4960C0"/>
    <w:pPr>
      <w:spacing w:line="240" w:lineRule="auto"/>
    </w:pPr>
    <w:rPr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0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4960C0"/>
    <w:pPr>
      <w:spacing w:line="240" w:lineRule="auto"/>
    </w:pPr>
    <w:rPr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0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\Documents\Puericultura\SPSS\UC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\Documents\Puericultura\SPSS\UCE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Excel2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\Documents\Puericultura\SPSS\U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Sexo!$B$11</c:f>
              <c:strCache>
                <c:ptCount val="1"/>
                <c:pt idx="0">
                  <c:v>Masculino</c:v>
                </c:pt>
              </c:strCache>
            </c:strRef>
          </c:tx>
          <c:invertIfNegative val="0"/>
          <c:cat>
            <c:strRef>
              <c:f>Sexo!$A$12:$A$13</c:f>
              <c:strCache>
                <c:ptCount val="2"/>
                <c:pt idx="0">
                  <c:v>Juiz de Fora</c:v>
                </c:pt>
                <c:pt idx="1">
                  <c:v>Departamento de Saúde da Criança e do Adolescente</c:v>
                </c:pt>
              </c:strCache>
            </c:strRef>
          </c:cat>
          <c:val>
            <c:numRef>
              <c:f>Sexo!$B$12:$B$13</c:f>
              <c:numCache>
                <c:formatCode>0.00%</c:formatCode>
                <c:ptCount val="2"/>
                <c:pt idx="0">
                  <c:v>0.51383462243840206</c:v>
                </c:pt>
                <c:pt idx="1">
                  <c:v>0.36994219653179189</c:v>
                </c:pt>
              </c:numCache>
            </c:numRef>
          </c:val>
        </c:ser>
        <c:ser>
          <c:idx val="1"/>
          <c:order val="1"/>
          <c:tx>
            <c:strRef>
              <c:f>Sexo!$C$11</c:f>
              <c:strCache>
                <c:ptCount val="1"/>
                <c:pt idx="0">
                  <c:v>Feminino</c:v>
                </c:pt>
              </c:strCache>
            </c:strRef>
          </c:tx>
          <c:invertIfNegative val="0"/>
          <c:cat>
            <c:strRef>
              <c:f>Sexo!$A$12:$A$13</c:f>
              <c:strCache>
                <c:ptCount val="2"/>
                <c:pt idx="0">
                  <c:v>Juiz de Fora</c:v>
                </c:pt>
                <c:pt idx="1">
                  <c:v>Departamento de Saúde da Criança e do Adolescente</c:v>
                </c:pt>
              </c:strCache>
            </c:strRef>
          </c:cat>
          <c:val>
            <c:numRef>
              <c:f>Sexo!$C$12:$C$13</c:f>
              <c:numCache>
                <c:formatCode>0.00%</c:formatCode>
                <c:ptCount val="2"/>
                <c:pt idx="0">
                  <c:v>0.48520851606729926</c:v>
                </c:pt>
                <c:pt idx="1">
                  <c:v>0.61271676300578037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8653824"/>
        <c:axId val="178655616"/>
      </c:barChart>
      <c:catAx>
        <c:axId val="17865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8655616"/>
        <c:crosses val="autoZero"/>
        <c:auto val="1"/>
        <c:lblAlgn val="ctr"/>
        <c:lblOffset val="100"/>
        <c:noMultiLvlLbl val="0"/>
      </c:catAx>
      <c:valAx>
        <c:axId val="178655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653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Aleitamento Materno Exclusivo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Plan1!$A$2:$A$5</c:f>
              <c:strCache>
                <c:ptCount val="4"/>
                <c:pt idx="0">
                  <c:v>Departamento de Saúde da Criança e Adolescente</c:v>
                </c:pt>
                <c:pt idx="1">
                  <c:v>Belo Horizonte</c:v>
                </c:pt>
                <c:pt idx="2">
                  <c:v>Região Sudeste</c:v>
                </c:pt>
                <c:pt idx="3">
                  <c:v>Brasil</c:v>
                </c:pt>
              </c:strCache>
            </c:strRef>
          </c:cat>
          <c:val>
            <c:numRef>
              <c:f>Plan1!$B$2:$B$5</c:f>
              <c:numCache>
                <c:formatCode>0.00%</c:formatCode>
                <c:ptCount val="4"/>
                <c:pt idx="0">
                  <c:v>0.87100000000000066</c:v>
                </c:pt>
                <c:pt idx="1">
                  <c:v>0.74300000000000066</c:v>
                </c:pt>
                <c:pt idx="2">
                  <c:v>0.72800000000000065</c:v>
                </c:pt>
                <c:pt idx="3">
                  <c:v>0.72300000000000064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49120"/>
        <c:axId val="178550656"/>
      </c:barChart>
      <c:catAx>
        <c:axId val="17854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8550656"/>
        <c:crosses val="autoZero"/>
        <c:auto val="1"/>
        <c:lblAlgn val="ctr"/>
        <c:lblOffset val="100"/>
        <c:noMultiLvlLbl val="0"/>
      </c:catAx>
      <c:valAx>
        <c:axId val="1785506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785491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pt-B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Peso!$A$12</c:f>
              <c:strCache>
                <c:ptCount val="1"/>
                <c:pt idx="0">
                  <c:v>Juiz de Fora</c:v>
                </c:pt>
              </c:strCache>
            </c:strRef>
          </c:tx>
          <c:cat>
            <c:strRef>
              <c:f>Peso!$B$11:$H$11</c:f>
              <c:strCache>
                <c:ptCount val="7"/>
                <c:pt idx="0">
                  <c:v>menos de 500g</c:v>
                </c:pt>
                <c:pt idx="1">
                  <c:v>500 a 999g</c:v>
                </c:pt>
                <c:pt idx="2">
                  <c:v>1000 a 1499g</c:v>
                </c:pt>
                <c:pt idx="3">
                  <c:v>1500 a 2499g</c:v>
                </c:pt>
                <c:pt idx="4">
                  <c:v>2500 a 2999g</c:v>
                </c:pt>
                <c:pt idx="5">
                  <c:v>3000 a 3999g</c:v>
                </c:pt>
                <c:pt idx="6">
                  <c:v>4000g e mais</c:v>
                </c:pt>
              </c:strCache>
            </c:strRef>
          </c:cat>
          <c:val>
            <c:numRef>
              <c:f>Peso!$B$12:$H$12</c:f>
              <c:numCache>
                <c:formatCode>0.00%</c:formatCode>
                <c:ptCount val="7"/>
                <c:pt idx="0">
                  <c:v>1.2758153257316004E-3</c:v>
                </c:pt>
                <c:pt idx="1">
                  <c:v>8.5320149908300769E-3</c:v>
                </c:pt>
                <c:pt idx="2">
                  <c:v>1.0126784147994578E-2</c:v>
                </c:pt>
                <c:pt idx="3">
                  <c:v>9.4330595646280199E-2</c:v>
                </c:pt>
                <c:pt idx="4">
                  <c:v>0.28370943305956464</c:v>
                </c:pt>
                <c:pt idx="5">
                  <c:v>0.57228291204848103</c:v>
                </c:pt>
                <c:pt idx="6">
                  <c:v>2.9742444781117934E-2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Peso!$A$13</c:f>
              <c:strCache>
                <c:ptCount val="1"/>
                <c:pt idx="0">
                  <c:v>Departamento de Saúde da Criança e do Adolescente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Peso!$B$11:$H$11</c:f>
              <c:strCache>
                <c:ptCount val="7"/>
                <c:pt idx="0">
                  <c:v>menos de 500g</c:v>
                </c:pt>
                <c:pt idx="1">
                  <c:v>500 a 999g</c:v>
                </c:pt>
                <c:pt idx="2">
                  <c:v>1000 a 1499g</c:v>
                </c:pt>
                <c:pt idx="3">
                  <c:v>1500 a 2499g</c:v>
                </c:pt>
                <c:pt idx="4">
                  <c:v>2500 a 2999g</c:v>
                </c:pt>
                <c:pt idx="5">
                  <c:v>3000 a 3999g</c:v>
                </c:pt>
                <c:pt idx="6">
                  <c:v>4000g e mais</c:v>
                </c:pt>
              </c:strCache>
            </c:strRef>
          </c:cat>
          <c:val>
            <c:numRef>
              <c:f>Peso!$B$13:$H$13</c:f>
              <c:numCache>
                <c:formatCode>0.00%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7.8313253012048195E-2</c:v>
                </c:pt>
                <c:pt idx="4">
                  <c:v>0.28915662650602408</c:v>
                </c:pt>
                <c:pt idx="5">
                  <c:v>0.60843373493975905</c:v>
                </c:pt>
                <c:pt idx="6">
                  <c:v>2.4096385542168676E-2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493248"/>
        <c:axId val="213495168"/>
      </c:lineChart>
      <c:catAx>
        <c:axId val="21349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13495168"/>
        <c:crosses val="autoZero"/>
        <c:auto val="1"/>
        <c:lblAlgn val="ctr"/>
        <c:lblOffset val="100"/>
        <c:noMultiLvlLbl val="0"/>
      </c:catAx>
      <c:valAx>
        <c:axId val="2134951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3493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Aleitamento Materno Exclusivo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Plan1!$A$2:$A$6</c:f>
              <c:strCache>
                <c:ptCount val="5"/>
                <c:pt idx="0">
                  <c:v>Departamento de Saúde da Criança e Adolescente</c:v>
                </c:pt>
                <c:pt idx="1">
                  <c:v>Juiz de Fora</c:v>
                </c:pt>
                <c:pt idx="2">
                  <c:v>Minas Gerais</c:v>
                </c:pt>
                <c:pt idx="3">
                  <c:v>Região Sudeste</c:v>
                </c:pt>
                <c:pt idx="4">
                  <c:v>Brasil</c:v>
                </c:pt>
              </c:strCache>
            </c:strRef>
          </c:cat>
          <c:val>
            <c:numRef>
              <c:f>Plan1!$B$2:$B$6</c:f>
              <c:numCache>
                <c:formatCode>0.00%</c:formatCode>
                <c:ptCount val="5"/>
                <c:pt idx="0">
                  <c:v>7.8000000000000014E-2</c:v>
                </c:pt>
                <c:pt idx="1">
                  <c:v>0.1143</c:v>
                </c:pt>
                <c:pt idx="2">
                  <c:v>9.5800000000000024E-2</c:v>
                </c:pt>
                <c:pt idx="3">
                  <c:v>9.2900000000000024E-2</c:v>
                </c:pt>
                <c:pt idx="4">
                  <c:v>8.43E-2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24544"/>
        <c:axId val="213726336"/>
      </c:barChart>
      <c:catAx>
        <c:axId val="213724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726336"/>
        <c:crosses val="autoZero"/>
        <c:auto val="1"/>
        <c:lblAlgn val="ctr"/>
        <c:lblOffset val="100"/>
        <c:noMultiLvlLbl val="0"/>
      </c:catAx>
      <c:valAx>
        <c:axId val="2137263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37245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pt-B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Plan2!$A$15</c:f>
              <c:strCache>
                <c:ptCount val="1"/>
                <c:pt idx="0">
                  <c:v>Departamento de Saúde da Criança e do Adolescente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Plan2!$B$14:$G$14</c:f>
              <c:strCache>
                <c:ptCount val="6"/>
                <c:pt idx="0">
                  <c:v>10 a 19 anos</c:v>
                </c:pt>
                <c:pt idx="1">
                  <c:v>20 a 24 anos</c:v>
                </c:pt>
                <c:pt idx="2">
                  <c:v>25 a 29 anos</c:v>
                </c:pt>
                <c:pt idx="3">
                  <c:v>30 a 34 anos</c:v>
                </c:pt>
                <c:pt idx="4">
                  <c:v>35 a 39 anos</c:v>
                </c:pt>
                <c:pt idx="5">
                  <c:v>40 a 49 anos</c:v>
                </c:pt>
              </c:strCache>
            </c:strRef>
          </c:cat>
          <c:val>
            <c:numRef>
              <c:f>Plan2!$B$15:$G$15</c:f>
              <c:numCache>
                <c:formatCode>0.00%</c:formatCode>
                <c:ptCount val="6"/>
                <c:pt idx="0">
                  <c:v>0.18620689655172415</c:v>
                </c:pt>
                <c:pt idx="1">
                  <c:v>0.31724137931034485</c:v>
                </c:pt>
                <c:pt idx="2">
                  <c:v>0.21379310344827587</c:v>
                </c:pt>
                <c:pt idx="3">
                  <c:v>0.10344827586206896</c:v>
                </c:pt>
                <c:pt idx="4">
                  <c:v>0.11724137931034483</c:v>
                </c:pt>
                <c:pt idx="5">
                  <c:v>6.2068965517241378E-2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Plan2!$A$16</c:f>
              <c:strCache>
                <c:ptCount val="1"/>
                <c:pt idx="0">
                  <c:v>Juiz de Fora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Plan2!$B$14:$G$14</c:f>
              <c:strCache>
                <c:ptCount val="6"/>
                <c:pt idx="0">
                  <c:v>10 a 19 anos</c:v>
                </c:pt>
                <c:pt idx="1">
                  <c:v>20 a 24 anos</c:v>
                </c:pt>
                <c:pt idx="2">
                  <c:v>25 a 29 anos</c:v>
                </c:pt>
                <c:pt idx="3">
                  <c:v>30 a 34 anos</c:v>
                </c:pt>
                <c:pt idx="4">
                  <c:v>35 a 39 anos</c:v>
                </c:pt>
                <c:pt idx="5">
                  <c:v>40 a 49 anos</c:v>
                </c:pt>
              </c:strCache>
            </c:strRef>
          </c:cat>
          <c:val>
            <c:numRef>
              <c:f>Plan2!$B$16:$G$16</c:f>
              <c:numCache>
                <c:formatCode>0.00%</c:formatCode>
                <c:ptCount val="6"/>
                <c:pt idx="0">
                  <c:v>0.15070568535204529</c:v>
                </c:pt>
                <c:pt idx="1">
                  <c:v>0.23467028147675623</c:v>
                </c:pt>
                <c:pt idx="2">
                  <c:v>0.25125588071126703</c:v>
                </c:pt>
                <c:pt idx="3">
                  <c:v>0.21975918985726817</c:v>
                </c:pt>
                <c:pt idx="4">
                  <c:v>0.11235148712223905</c:v>
                </c:pt>
                <c:pt idx="5">
                  <c:v>3.1257475480424207E-2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742336"/>
        <c:axId val="213744256"/>
      </c:lineChart>
      <c:catAx>
        <c:axId val="21374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13744256"/>
        <c:crosses val="autoZero"/>
        <c:auto val="1"/>
        <c:lblAlgn val="ctr"/>
        <c:lblOffset val="100"/>
        <c:noMultiLvlLbl val="0"/>
      </c:catAx>
      <c:valAx>
        <c:axId val="2137442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137423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Daniel</cp:lastModifiedBy>
  <cp:revision>2</cp:revision>
  <dcterms:created xsi:type="dcterms:W3CDTF">2012-10-16T18:48:00Z</dcterms:created>
  <dcterms:modified xsi:type="dcterms:W3CDTF">2012-10-16T18:50:00Z</dcterms:modified>
</cp:coreProperties>
</file>